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80" w:type="dxa"/>
        <w:tblInd w:w="-12" w:type="dxa"/>
        <w:tblLayout w:type="fixed"/>
        <w:tblLook w:val="0000"/>
      </w:tblPr>
      <w:tblGrid>
        <w:gridCol w:w="3240"/>
        <w:gridCol w:w="6000"/>
        <w:gridCol w:w="2040"/>
      </w:tblGrid>
      <w:tr w:rsidR="00C14DA1" w:rsidRPr="00A04A0B" w:rsidTr="00272E4B">
        <w:trPr>
          <w:cantSplit/>
          <w:trHeight w:val="823"/>
        </w:trPr>
        <w:tc>
          <w:tcPr>
            <w:tcW w:w="3240" w:type="dxa"/>
            <w:vMerge w:val="restart"/>
            <w:vAlign w:val="center"/>
          </w:tcPr>
          <w:p w:rsidR="00C14DA1" w:rsidRPr="00A04A0B" w:rsidRDefault="00510E26" w:rsidP="00272E4B">
            <w:pPr>
              <w:jc w:val="center"/>
              <w:rPr>
                <w:rFonts w:ascii="Arial" w:hAnsi="Arial" w:cs="Arial"/>
              </w:rPr>
            </w:pPr>
            <w:r>
              <w:rPr>
                <w:rFonts w:ascii="Arial" w:hAnsi="Arial" w:cs="Arial"/>
                <w:noProof/>
              </w:rPr>
              <w:drawing>
                <wp:inline distT="0" distB="0" distL="0" distR="0">
                  <wp:extent cx="1943100" cy="914400"/>
                  <wp:effectExtent l="19050" t="0" r="0" b="0"/>
                  <wp:docPr id="1" name="Picture 2" descr="Arkansas Department of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ansas Department of Human Services"/>
                          <pic:cNvPicPr>
                            <a:picLocks noChangeAspect="1" noChangeArrowheads="1"/>
                          </pic:cNvPicPr>
                        </pic:nvPicPr>
                        <pic:blipFill>
                          <a:blip r:embed="rId7" cstate="print"/>
                          <a:srcRect/>
                          <a:stretch>
                            <a:fillRect/>
                          </a:stretch>
                        </pic:blipFill>
                        <pic:spPr bwMode="auto">
                          <a:xfrm>
                            <a:off x="0" y="0"/>
                            <a:ext cx="1943100" cy="914400"/>
                          </a:xfrm>
                          <a:prstGeom prst="rect">
                            <a:avLst/>
                          </a:prstGeom>
                          <a:noFill/>
                          <a:ln w="9525">
                            <a:noFill/>
                            <a:miter lim="800000"/>
                            <a:headEnd/>
                            <a:tailEnd/>
                          </a:ln>
                        </pic:spPr>
                      </pic:pic>
                    </a:graphicData>
                  </a:graphic>
                </wp:inline>
              </w:drawing>
            </w:r>
          </w:p>
        </w:tc>
        <w:tc>
          <w:tcPr>
            <w:tcW w:w="6000" w:type="dxa"/>
          </w:tcPr>
          <w:p w:rsidR="00C14DA1" w:rsidRDefault="00C14DA1" w:rsidP="00272E4B">
            <w:pPr>
              <w:pStyle w:val="Heading2"/>
              <w:rPr>
                <w:rFonts w:ascii="Franklin Gothic Demi" w:hAnsi="Franklin Gothic Demi" w:cs="Arial"/>
                <w:bCs w:val="0"/>
                <w:sz w:val="32"/>
                <w:szCs w:val="32"/>
              </w:rPr>
            </w:pPr>
          </w:p>
          <w:p w:rsidR="00C14DA1" w:rsidRDefault="00C14DA1" w:rsidP="00272E4B">
            <w:pPr>
              <w:pStyle w:val="Heading2"/>
              <w:rPr>
                <w:rFonts w:ascii="Franklin Gothic Demi" w:hAnsi="Franklin Gothic Demi" w:cs="Arial"/>
                <w:bCs w:val="0"/>
                <w:sz w:val="32"/>
                <w:szCs w:val="32"/>
              </w:rPr>
            </w:pPr>
            <w:r>
              <w:rPr>
                <w:rFonts w:ascii="Franklin Gothic Demi" w:hAnsi="Franklin Gothic Demi" w:cs="Arial"/>
                <w:bCs w:val="0"/>
                <w:sz w:val="32"/>
                <w:szCs w:val="32"/>
              </w:rPr>
              <w:t>Division of Medical Services</w:t>
            </w:r>
          </w:p>
          <w:p w:rsidR="00C14DA1" w:rsidRPr="00D60004" w:rsidRDefault="00C14DA1" w:rsidP="00C14DA1">
            <w:pPr>
              <w:pStyle w:val="Heading2"/>
              <w:rPr>
                <w:rFonts w:ascii="Franklin Gothic Demi" w:hAnsi="Franklin Gothic Demi" w:cs="Arial"/>
                <w:bCs w:val="0"/>
                <w:sz w:val="24"/>
              </w:rPr>
            </w:pPr>
          </w:p>
        </w:tc>
        <w:tc>
          <w:tcPr>
            <w:tcW w:w="2040" w:type="dxa"/>
            <w:vMerge w:val="restart"/>
            <w:vAlign w:val="center"/>
          </w:tcPr>
          <w:p w:rsidR="00C14DA1" w:rsidRPr="00A04A0B" w:rsidRDefault="00510E26" w:rsidP="00272E4B">
            <w:pPr>
              <w:jc w:val="center"/>
              <w:rPr>
                <w:rFonts w:ascii="Arial" w:hAnsi="Arial" w:cs="Arial"/>
              </w:rPr>
            </w:pPr>
            <w:r>
              <w:rPr>
                <w:rFonts w:ascii="Verdana" w:hAnsi="Verdana"/>
                <w:noProof/>
                <w:color w:val="1659D8"/>
                <w:sz w:val="16"/>
                <w:szCs w:val="16"/>
              </w:rPr>
              <w:drawing>
                <wp:inline distT="0" distB="0" distL="0" distR="0">
                  <wp:extent cx="1104900" cy="1104900"/>
                  <wp:effectExtent l="19050" t="0" r="0" b="0"/>
                  <wp:docPr id="2" name="Picture 1" descr="Great Seal of the State of Arkansa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Seal of the State of Arkansas">
                            <a:hlinkClick r:id="rId8"/>
                          </pic:cNvPr>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c>
      </w:tr>
      <w:tr w:rsidR="00C14DA1" w:rsidRPr="00A04A0B" w:rsidTr="00272E4B">
        <w:trPr>
          <w:cantSplit/>
          <w:trHeight w:val="823"/>
        </w:trPr>
        <w:tc>
          <w:tcPr>
            <w:tcW w:w="3240" w:type="dxa"/>
            <w:vMerge/>
          </w:tcPr>
          <w:p w:rsidR="00C14DA1" w:rsidRPr="00A04A0B" w:rsidRDefault="00C14DA1" w:rsidP="00272E4B">
            <w:pPr>
              <w:jc w:val="center"/>
              <w:rPr>
                <w:rFonts w:ascii="Arial" w:hAnsi="Arial" w:cs="Arial"/>
              </w:rPr>
            </w:pPr>
          </w:p>
        </w:tc>
        <w:tc>
          <w:tcPr>
            <w:tcW w:w="6000" w:type="dxa"/>
          </w:tcPr>
          <w:p w:rsidR="00C14DA1" w:rsidRDefault="00C14DA1" w:rsidP="00272E4B">
            <w:pPr>
              <w:spacing w:before="100" w:beforeAutospacing="1"/>
              <w:jc w:val="center"/>
              <w:rPr>
                <w:rFonts w:ascii="AGaramond Bold" w:hAnsi="AGaramond Bold"/>
                <w:bCs/>
                <w:sz w:val="20"/>
                <w:szCs w:val="20"/>
              </w:rPr>
            </w:pPr>
          </w:p>
          <w:p w:rsidR="00232F19" w:rsidRPr="00232F19" w:rsidRDefault="00232F19" w:rsidP="00232F19">
            <w:pPr>
              <w:jc w:val="center"/>
              <w:rPr>
                <w:rFonts w:ascii="AGaramond Bold" w:hAnsi="AGaramond Bold"/>
                <w:bCs/>
                <w:sz w:val="20"/>
                <w:szCs w:val="20"/>
              </w:rPr>
            </w:pPr>
            <w:r w:rsidRPr="00232F19">
              <w:rPr>
                <w:rFonts w:ascii="AGaramond Bold" w:hAnsi="AGaramond Bold"/>
                <w:bCs/>
                <w:sz w:val="20"/>
                <w:szCs w:val="20"/>
              </w:rPr>
              <w:t>P.O. Box 1437, Slot S295 • Little Rock, AR 72203-1437</w:t>
            </w:r>
          </w:p>
          <w:p w:rsidR="00232F19" w:rsidRPr="00232F19" w:rsidRDefault="00232F19" w:rsidP="00232F19">
            <w:pPr>
              <w:jc w:val="center"/>
              <w:rPr>
                <w:rFonts w:ascii="AGaramond Bold" w:hAnsi="AGaramond Bold"/>
                <w:bCs/>
                <w:sz w:val="20"/>
                <w:szCs w:val="20"/>
              </w:rPr>
            </w:pPr>
            <w:r w:rsidRPr="00232F19">
              <w:rPr>
                <w:rFonts w:ascii="AGaramond Bold" w:hAnsi="AGaramond Bold"/>
                <w:bCs/>
                <w:sz w:val="20"/>
                <w:szCs w:val="20"/>
              </w:rPr>
              <w:t>501-683-4120 • Fax: 501-683-4124</w:t>
            </w:r>
          </w:p>
          <w:p w:rsidR="00232F19" w:rsidRPr="00EC42C0" w:rsidRDefault="00232F19" w:rsidP="00232F19">
            <w:pPr>
              <w:spacing w:after="240"/>
              <w:jc w:val="center"/>
              <w:rPr>
                <w:rFonts w:ascii="Arial" w:hAnsi="Arial" w:cs="Arial"/>
                <w:bCs/>
                <w:sz w:val="20"/>
                <w:szCs w:val="20"/>
              </w:rPr>
            </w:pPr>
            <w:r w:rsidRPr="00232F19">
              <w:rPr>
                <w:rFonts w:ascii="AGaramond Bold" w:hAnsi="AGaramond Bold"/>
                <w:bCs/>
                <w:sz w:val="20"/>
                <w:szCs w:val="20"/>
              </w:rPr>
              <w:t>TDD/TTY: 501-682-6789</w:t>
            </w:r>
          </w:p>
        </w:tc>
        <w:tc>
          <w:tcPr>
            <w:tcW w:w="2040" w:type="dxa"/>
            <w:vMerge/>
          </w:tcPr>
          <w:p w:rsidR="00C14DA1" w:rsidRPr="00A04A0B" w:rsidRDefault="00C14DA1" w:rsidP="00272E4B">
            <w:pPr>
              <w:jc w:val="center"/>
              <w:rPr>
                <w:rFonts w:ascii="Arial" w:hAnsi="Arial" w:cs="Arial"/>
              </w:rPr>
            </w:pPr>
          </w:p>
        </w:tc>
      </w:tr>
    </w:tbl>
    <w:p w:rsidR="00C14DA1" w:rsidRPr="00A04A0B" w:rsidRDefault="00C14DA1" w:rsidP="00C14DA1">
      <w:pPr>
        <w:rPr>
          <w:rFonts w:ascii="AGaramond" w:hAnsi="AGaramond"/>
        </w:rPr>
        <w:sectPr w:rsidR="00C14DA1" w:rsidRPr="00A04A0B">
          <w:headerReference w:type="default" r:id="rId10"/>
          <w:footerReference w:type="first" r:id="rId11"/>
          <w:pgSz w:w="12240" w:h="15840" w:code="1"/>
          <w:pgMar w:top="720" w:right="720" w:bottom="720" w:left="720" w:header="0" w:footer="432" w:gutter="0"/>
          <w:cols w:space="720"/>
          <w:titlePg/>
          <w:docGrid w:linePitch="360"/>
        </w:sectPr>
      </w:pPr>
    </w:p>
    <w:p w:rsidR="00C14DA1" w:rsidRDefault="00C14DA1" w:rsidP="00C14DA1">
      <w:pPr>
        <w:ind w:right="90"/>
        <w:rPr>
          <w:rFonts w:ascii="Arial" w:hAnsi="Arial" w:cs="Arial"/>
        </w:rPr>
      </w:pPr>
    </w:p>
    <w:p w:rsidR="00227AD3" w:rsidRPr="00457AD6" w:rsidRDefault="00227AD3" w:rsidP="00227AD3">
      <w:pPr>
        <w:ind w:left="1400" w:hanging="1400"/>
        <w:jc w:val="center"/>
        <w:rPr>
          <w:rFonts w:ascii="Arial" w:hAnsi="Arial" w:cs="Arial"/>
          <w:sz w:val="17"/>
          <w:szCs w:val="17"/>
        </w:rPr>
      </w:pPr>
      <w:r w:rsidRPr="00457AD6">
        <w:rPr>
          <w:rFonts w:ascii="Arial" w:hAnsi="Arial" w:cs="Arial"/>
          <w:sz w:val="17"/>
          <w:szCs w:val="17"/>
        </w:rPr>
        <w:t>MEMORANDUM</w:t>
      </w:r>
    </w:p>
    <w:p w:rsidR="00227AD3" w:rsidRPr="00457AD6" w:rsidRDefault="00227AD3" w:rsidP="00227AD3">
      <w:pPr>
        <w:ind w:left="1400" w:hanging="1400"/>
        <w:rPr>
          <w:rFonts w:ascii="Arial" w:hAnsi="Arial" w:cs="Arial"/>
          <w:sz w:val="16"/>
          <w:szCs w:val="20"/>
        </w:rPr>
      </w:pPr>
    </w:p>
    <w:p w:rsidR="00227AD3" w:rsidRPr="001005E8" w:rsidRDefault="00227AD3" w:rsidP="00227AD3">
      <w:pPr>
        <w:ind w:left="1400" w:hanging="1400"/>
        <w:rPr>
          <w:rFonts w:ascii="Arial" w:hAnsi="Arial" w:cs="Arial"/>
          <w:sz w:val="18"/>
          <w:szCs w:val="18"/>
        </w:rPr>
      </w:pPr>
      <w:r w:rsidRPr="00464DAF">
        <w:rPr>
          <w:rFonts w:ascii="Arial" w:hAnsi="Arial" w:cs="Arial"/>
          <w:sz w:val="18"/>
          <w:szCs w:val="18"/>
        </w:rPr>
        <w:t>TO:</w:t>
      </w:r>
      <w:r w:rsidRPr="00464DAF">
        <w:rPr>
          <w:rFonts w:ascii="Arial" w:hAnsi="Arial" w:cs="Arial"/>
          <w:sz w:val="18"/>
          <w:szCs w:val="18"/>
        </w:rPr>
        <w:tab/>
        <w:t>Arkansas Medicaid Prescribers and Interested Parties</w:t>
      </w:r>
    </w:p>
    <w:p w:rsidR="00227AD3" w:rsidRPr="00464DAF" w:rsidRDefault="00227AD3" w:rsidP="00227AD3">
      <w:pPr>
        <w:rPr>
          <w:rFonts w:ascii="Arial" w:hAnsi="Arial" w:cs="Arial"/>
          <w:sz w:val="18"/>
          <w:szCs w:val="18"/>
        </w:rPr>
      </w:pPr>
    </w:p>
    <w:p w:rsidR="00227AD3" w:rsidRPr="00464DAF" w:rsidRDefault="00227AD3" w:rsidP="00227AD3">
      <w:pPr>
        <w:tabs>
          <w:tab w:val="left" w:pos="720"/>
          <w:tab w:val="left" w:pos="1440"/>
          <w:tab w:val="left" w:pos="2160"/>
          <w:tab w:val="left" w:pos="2880"/>
          <w:tab w:val="left" w:pos="3600"/>
          <w:tab w:val="left" w:pos="4320"/>
          <w:tab w:val="left" w:pos="5040"/>
          <w:tab w:val="left" w:pos="5760"/>
          <w:tab w:val="left" w:pos="6480"/>
          <w:tab w:val="left" w:pos="7590"/>
        </w:tabs>
        <w:rPr>
          <w:rFonts w:ascii="Arial" w:hAnsi="Arial" w:cs="Arial"/>
          <w:sz w:val="18"/>
          <w:szCs w:val="18"/>
        </w:rPr>
      </w:pPr>
      <w:r w:rsidRPr="00464DAF">
        <w:rPr>
          <w:rFonts w:ascii="Arial" w:hAnsi="Arial" w:cs="Arial"/>
          <w:sz w:val="18"/>
          <w:szCs w:val="18"/>
        </w:rPr>
        <w:t>FROM:</w:t>
      </w:r>
      <w:r w:rsidRPr="00464DAF">
        <w:rPr>
          <w:rFonts w:ascii="Arial" w:hAnsi="Arial" w:cs="Arial"/>
          <w:sz w:val="18"/>
          <w:szCs w:val="18"/>
        </w:rPr>
        <w:tab/>
      </w:r>
      <w:r w:rsidRPr="00464DAF">
        <w:rPr>
          <w:rFonts w:ascii="Arial" w:hAnsi="Arial" w:cs="Arial"/>
          <w:sz w:val="18"/>
          <w:szCs w:val="18"/>
        </w:rPr>
        <w:tab/>
        <w:t xml:space="preserve">Suzette Bridges, P.D., Division of Medical Services Pharmacy Program </w:t>
      </w:r>
      <w:r w:rsidR="00510E26">
        <w:rPr>
          <w:rFonts w:ascii="Arial" w:hAnsi="Arial" w:cs="Arial"/>
          <w:noProof/>
          <w:sz w:val="18"/>
          <w:szCs w:val="18"/>
        </w:rPr>
        <w:drawing>
          <wp:inline distT="0" distB="0" distL="0" distR="0">
            <wp:extent cx="243840" cy="190500"/>
            <wp:effectExtent l="19050" t="0" r="3810" b="0"/>
            <wp:docPr id="3" name="Picture 3" descr="Suzette Bridges - init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zette Bridges - initials"/>
                    <pic:cNvPicPr>
                      <a:picLocks noChangeAspect="1" noChangeArrowheads="1"/>
                    </pic:cNvPicPr>
                  </pic:nvPicPr>
                  <pic:blipFill>
                    <a:blip r:embed="rId12" cstate="print"/>
                    <a:srcRect/>
                    <a:stretch>
                      <a:fillRect/>
                    </a:stretch>
                  </pic:blipFill>
                  <pic:spPr bwMode="auto">
                    <a:xfrm>
                      <a:off x="0" y="0"/>
                      <a:ext cx="243840" cy="190500"/>
                    </a:xfrm>
                    <a:prstGeom prst="rect">
                      <a:avLst/>
                    </a:prstGeom>
                    <a:noFill/>
                    <a:ln w="9525">
                      <a:noFill/>
                      <a:miter lim="800000"/>
                      <a:headEnd/>
                      <a:tailEnd/>
                    </a:ln>
                  </pic:spPr>
                </pic:pic>
              </a:graphicData>
            </a:graphic>
          </wp:inline>
        </w:drawing>
      </w:r>
    </w:p>
    <w:p w:rsidR="00227AD3" w:rsidRPr="00464DAF" w:rsidRDefault="00227AD3" w:rsidP="00227AD3">
      <w:pPr>
        <w:rPr>
          <w:rFonts w:ascii="Arial" w:hAnsi="Arial" w:cs="Arial"/>
          <w:sz w:val="18"/>
          <w:szCs w:val="18"/>
        </w:rPr>
      </w:pPr>
    </w:p>
    <w:p w:rsidR="00227AD3" w:rsidRPr="00464DAF" w:rsidRDefault="00227AD3" w:rsidP="00227AD3">
      <w:pPr>
        <w:rPr>
          <w:rFonts w:ascii="Arial" w:hAnsi="Arial" w:cs="Arial"/>
          <w:sz w:val="18"/>
          <w:szCs w:val="18"/>
        </w:rPr>
      </w:pPr>
      <w:r w:rsidRPr="00464DAF">
        <w:rPr>
          <w:rFonts w:ascii="Arial" w:hAnsi="Arial" w:cs="Arial"/>
          <w:sz w:val="18"/>
          <w:szCs w:val="18"/>
        </w:rPr>
        <w:t>DATE:</w:t>
      </w:r>
      <w:r w:rsidRPr="00464DAF">
        <w:rPr>
          <w:rFonts w:ascii="Arial" w:hAnsi="Arial" w:cs="Arial"/>
          <w:sz w:val="18"/>
          <w:szCs w:val="18"/>
        </w:rPr>
        <w:tab/>
      </w:r>
      <w:r w:rsidRPr="00464DAF">
        <w:rPr>
          <w:rFonts w:ascii="Arial" w:hAnsi="Arial" w:cs="Arial"/>
          <w:sz w:val="18"/>
          <w:szCs w:val="18"/>
        </w:rPr>
        <w:tab/>
      </w:r>
      <w:r w:rsidR="005E5138">
        <w:rPr>
          <w:rFonts w:ascii="Arial" w:hAnsi="Arial" w:cs="Arial"/>
          <w:sz w:val="18"/>
          <w:szCs w:val="18"/>
        </w:rPr>
        <w:t>August 18</w:t>
      </w:r>
      <w:r w:rsidR="00C91053" w:rsidRPr="005E5138">
        <w:rPr>
          <w:rFonts w:ascii="Arial" w:hAnsi="Arial" w:cs="Arial"/>
          <w:sz w:val="18"/>
          <w:szCs w:val="18"/>
        </w:rPr>
        <w:t>,</w:t>
      </w:r>
      <w:r w:rsidR="002D5490" w:rsidRPr="005E5138">
        <w:rPr>
          <w:rFonts w:ascii="Arial" w:hAnsi="Arial" w:cs="Arial"/>
          <w:sz w:val="18"/>
          <w:szCs w:val="18"/>
        </w:rPr>
        <w:t xml:space="preserve"> 2014</w:t>
      </w:r>
    </w:p>
    <w:p w:rsidR="00227AD3" w:rsidRPr="00464DAF" w:rsidRDefault="00227AD3" w:rsidP="00227AD3">
      <w:pPr>
        <w:ind w:left="1440" w:hanging="1440"/>
        <w:rPr>
          <w:rFonts w:ascii="Arial" w:hAnsi="Arial" w:cs="Arial"/>
          <w:sz w:val="18"/>
          <w:szCs w:val="18"/>
        </w:rPr>
      </w:pPr>
    </w:p>
    <w:p w:rsidR="00227AD3" w:rsidRDefault="00227AD3" w:rsidP="00227AD3">
      <w:pPr>
        <w:ind w:left="1440" w:hanging="1440"/>
        <w:rPr>
          <w:rFonts w:ascii="Arial" w:hAnsi="Arial" w:cs="Arial"/>
          <w:sz w:val="18"/>
          <w:szCs w:val="18"/>
        </w:rPr>
      </w:pPr>
      <w:r w:rsidRPr="00464DAF">
        <w:rPr>
          <w:rFonts w:ascii="Arial" w:hAnsi="Arial" w:cs="Arial"/>
          <w:sz w:val="18"/>
          <w:szCs w:val="18"/>
        </w:rPr>
        <w:t xml:space="preserve">SUBJ: </w:t>
      </w:r>
      <w:r w:rsidRPr="00464DAF">
        <w:rPr>
          <w:rFonts w:ascii="Arial" w:hAnsi="Arial" w:cs="Arial"/>
          <w:sz w:val="18"/>
          <w:szCs w:val="18"/>
        </w:rPr>
        <w:tab/>
      </w:r>
      <w:r w:rsidRPr="00464DAF">
        <w:rPr>
          <w:rFonts w:ascii="Arial" w:hAnsi="Arial" w:cs="Arial"/>
          <w:b/>
          <w:sz w:val="18"/>
          <w:szCs w:val="18"/>
        </w:rPr>
        <w:t>AR Medicaid</w:t>
      </w:r>
      <w:r w:rsidRPr="00464DAF">
        <w:rPr>
          <w:rFonts w:ascii="Arial" w:hAnsi="Arial" w:cs="Arial"/>
          <w:sz w:val="18"/>
          <w:szCs w:val="18"/>
        </w:rPr>
        <w:t xml:space="preserve"> </w:t>
      </w:r>
      <w:r w:rsidRPr="00464DAF">
        <w:rPr>
          <w:rFonts w:ascii="Arial" w:hAnsi="Arial" w:cs="Arial"/>
          <w:b/>
          <w:sz w:val="18"/>
          <w:szCs w:val="18"/>
        </w:rPr>
        <w:t xml:space="preserve">DUR Board edits approved at the </w:t>
      </w:r>
      <w:r w:rsidR="006044F1">
        <w:rPr>
          <w:rFonts w:ascii="Arial" w:hAnsi="Arial" w:cs="Arial"/>
          <w:b/>
          <w:sz w:val="18"/>
          <w:szCs w:val="18"/>
        </w:rPr>
        <w:t>July</w:t>
      </w:r>
      <w:r w:rsidR="00566FE1">
        <w:rPr>
          <w:rFonts w:ascii="Arial" w:hAnsi="Arial" w:cs="Arial"/>
          <w:b/>
          <w:sz w:val="18"/>
          <w:szCs w:val="18"/>
        </w:rPr>
        <w:t xml:space="preserve"> 16</w:t>
      </w:r>
      <w:r w:rsidRPr="00464DAF">
        <w:rPr>
          <w:rFonts w:ascii="Arial" w:hAnsi="Arial" w:cs="Arial"/>
          <w:b/>
          <w:sz w:val="18"/>
          <w:szCs w:val="18"/>
        </w:rPr>
        <w:t>, 201</w:t>
      </w:r>
      <w:r w:rsidR="00B167DF" w:rsidRPr="00464DAF">
        <w:rPr>
          <w:rFonts w:ascii="Arial" w:hAnsi="Arial" w:cs="Arial"/>
          <w:b/>
          <w:sz w:val="18"/>
          <w:szCs w:val="18"/>
        </w:rPr>
        <w:t>4</w:t>
      </w:r>
      <w:r w:rsidRPr="00464DAF">
        <w:rPr>
          <w:rFonts w:ascii="Arial" w:hAnsi="Arial" w:cs="Arial"/>
          <w:b/>
          <w:sz w:val="18"/>
          <w:szCs w:val="18"/>
        </w:rPr>
        <w:t xml:space="preserve"> meeting:</w:t>
      </w:r>
      <w:r w:rsidRPr="00464DAF">
        <w:rPr>
          <w:rFonts w:ascii="Arial" w:hAnsi="Arial" w:cs="Arial"/>
          <w:sz w:val="18"/>
          <w:szCs w:val="18"/>
        </w:rPr>
        <w:t xml:space="preserve"> </w:t>
      </w:r>
    </w:p>
    <w:p w:rsidR="00112CE4" w:rsidRPr="00464DAF" w:rsidRDefault="00112CE4" w:rsidP="00112CE4">
      <w:pPr>
        <w:tabs>
          <w:tab w:val="left" w:pos="1440"/>
        </w:tabs>
        <w:ind w:left="1440" w:hanging="1440"/>
        <w:rPr>
          <w:rFonts w:ascii="Arial" w:hAnsi="Arial" w:cs="Arial"/>
          <w:sz w:val="18"/>
          <w:szCs w:val="18"/>
        </w:rPr>
      </w:pPr>
      <w:r>
        <w:rPr>
          <w:rFonts w:ascii="Arial" w:hAnsi="Arial" w:cs="Arial"/>
          <w:sz w:val="18"/>
          <w:szCs w:val="18"/>
        </w:rPr>
        <w:tab/>
      </w:r>
    </w:p>
    <w:p w:rsidR="00553694" w:rsidRPr="008A5955" w:rsidRDefault="00112CE4" w:rsidP="00112CE4">
      <w:pPr>
        <w:tabs>
          <w:tab w:val="left" w:pos="1486"/>
        </w:tabs>
        <w:ind w:left="1440" w:hanging="1440"/>
        <w:rPr>
          <w:rFonts w:ascii="Arial" w:hAnsi="Arial" w:cs="Arial"/>
          <w:sz w:val="18"/>
          <w:szCs w:val="18"/>
        </w:rPr>
      </w:pPr>
      <w:r>
        <w:rPr>
          <w:rFonts w:ascii="Arial" w:hAnsi="Arial" w:cs="Arial"/>
          <w:sz w:val="18"/>
          <w:szCs w:val="18"/>
        </w:rPr>
        <w:tab/>
      </w:r>
      <w:r w:rsidRPr="00464DAF">
        <w:rPr>
          <w:rFonts w:ascii="Arial" w:hAnsi="Arial" w:cs="Arial"/>
          <w:b/>
          <w:sz w:val="18"/>
          <w:szCs w:val="18"/>
          <w:u w:val="single"/>
        </w:rPr>
        <w:t xml:space="preserve">Changes To Existing </w:t>
      </w:r>
      <w:r>
        <w:rPr>
          <w:rFonts w:ascii="Arial" w:hAnsi="Arial" w:cs="Arial"/>
          <w:b/>
          <w:sz w:val="18"/>
          <w:szCs w:val="18"/>
          <w:u w:val="single"/>
        </w:rPr>
        <w:t>Prior Authorization (PA)</w:t>
      </w:r>
      <w:r w:rsidRPr="00464DAF">
        <w:rPr>
          <w:rFonts w:ascii="Arial" w:hAnsi="Arial" w:cs="Arial"/>
          <w:b/>
          <w:sz w:val="18"/>
          <w:szCs w:val="18"/>
          <w:u w:val="single"/>
        </w:rPr>
        <w:t xml:space="preserve"> Criteria Or Edits</w:t>
      </w:r>
      <w:r w:rsidRPr="008A5955">
        <w:rPr>
          <w:rFonts w:ascii="Arial" w:hAnsi="Arial" w:cs="Arial"/>
          <w:sz w:val="18"/>
          <w:szCs w:val="18"/>
        </w:rPr>
        <w:t xml:space="preserve">: </w:t>
      </w:r>
      <w:r w:rsidR="008A5955" w:rsidRPr="008A5955">
        <w:rPr>
          <w:rFonts w:ascii="Arial" w:hAnsi="Arial" w:cs="Arial"/>
          <w:sz w:val="18"/>
          <w:szCs w:val="18"/>
        </w:rPr>
        <w:t>Synagis®</w:t>
      </w:r>
      <w:r w:rsidR="008A5955">
        <w:rPr>
          <w:rFonts w:ascii="Arial" w:hAnsi="Arial" w:cs="Arial"/>
          <w:sz w:val="18"/>
          <w:szCs w:val="18"/>
        </w:rPr>
        <w:t xml:space="preserve"> (palivizumab); </w:t>
      </w:r>
      <w:r w:rsidR="008A5955" w:rsidRPr="008A5955">
        <w:rPr>
          <w:rFonts w:ascii="Arial" w:hAnsi="Arial" w:cs="Arial"/>
          <w:sz w:val="18"/>
          <w:szCs w:val="18"/>
        </w:rPr>
        <w:tab/>
        <w:t>Xolair® (omalizumab) injection</w:t>
      </w:r>
      <w:r w:rsidR="008A5955">
        <w:rPr>
          <w:rFonts w:ascii="Arial" w:hAnsi="Arial" w:cs="Arial"/>
          <w:sz w:val="18"/>
          <w:szCs w:val="18"/>
        </w:rPr>
        <w:t xml:space="preserve">; </w:t>
      </w:r>
      <w:r w:rsidR="008A5955" w:rsidRPr="008A5955">
        <w:rPr>
          <w:rFonts w:ascii="Arial" w:hAnsi="Arial" w:cs="Arial"/>
          <w:sz w:val="18"/>
          <w:szCs w:val="18"/>
        </w:rPr>
        <w:t>Denavir® (penciclovir) 1% 5 gm cream</w:t>
      </w:r>
      <w:r w:rsidR="008A5955">
        <w:rPr>
          <w:rFonts w:ascii="Arial" w:hAnsi="Arial" w:cs="Arial"/>
          <w:sz w:val="18"/>
          <w:szCs w:val="18"/>
        </w:rPr>
        <w:t xml:space="preserve">; </w:t>
      </w:r>
    </w:p>
    <w:p w:rsidR="00553694" w:rsidRPr="00464DAF" w:rsidRDefault="00553694" w:rsidP="00112CE4">
      <w:pPr>
        <w:tabs>
          <w:tab w:val="left" w:pos="1486"/>
        </w:tabs>
        <w:ind w:left="1440" w:hanging="1440"/>
        <w:rPr>
          <w:rFonts w:ascii="Arial" w:hAnsi="Arial" w:cs="Arial"/>
          <w:sz w:val="18"/>
          <w:szCs w:val="18"/>
        </w:rPr>
      </w:pPr>
    </w:p>
    <w:p w:rsidR="00603397" w:rsidRPr="008A5955" w:rsidRDefault="00553694" w:rsidP="00553694">
      <w:pPr>
        <w:tabs>
          <w:tab w:val="left" w:pos="1486"/>
        </w:tabs>
        <w:ind w:left="1440" w:hanging="1440"/>
        <w:rPr>
          <w:rFonts w:ascii="Arial" w:hAnsi="Arial" w:cs="Arial"/>
          <w:sz w:val="18"/>
          <w:szCs w:val="18"/>
        </w:rPr>
      </w:pPr>
      <w:r w:rsidRPr="00553694">
        <w:rPr>
          <w:rFonts w:ascii="Arial" w:hAnsi="Arial" w:cs="Arial"/>
          <w:b/>
          <w:sz w:val="18"/>
          <w:szCs w:val="18"/>
        </w:rPr>
        <w:tab/>
      </w:r>
      <w:r w:rsidR="00227AD3" w:rsidRPr="00553694">
        <w:rPr>
          <w:rFonts w:ascii="Arial" w:hAnsi="Arial" w:cs="Arial"/>
          <w:b/>
          <w:sz w:val="18"/>
          <w:szCs w:val="18"/>
          <w:u w:val="single"/>
        </w:rPr>
        <w:t>Clinical edits through the Manual Review PA Process</w:t>
      </w:r>
      <w:r w:rsidR="00227AD3" w:rsidRPr="00553694">
        <w:rPr>
          <w:rFonts w:ascii="Arial" w:hAnsi="Arial" w:cs="Arial"/>
          <w:b/>
          <w:sz w:val="18"/>
          <w:szCs w:val="18"/>
        </w:rPr>
        <w:t xml:space="preserve">: </w:t>
      </w:r>
      <w:r w:rsidR="00566FE1" w:rsidRPr="00553694">
        <w:rPr>
          <w:rFonts w:ascii="Arial" w:hAnsi="Arial" w:cs="Arial"/>
          <w:b/>
          <w:sz w:val="18"/>
          <w:szCs w:val="18"/>
        </w:rPr>
        <w:t xml:space="preserve"> </w:t>
      </w:r>
      <w:r w:rsidR="008A5955">
        <w:rPr>
          <w:rFonts w:ascii="Arial" w:hAnsi="Arial" w:cs="Arial"/>
          <w:sz w:val="18"/>
          <w:szCs w:val="18"/>
        </w:rPr>
        <w:t>Lazanda® (fentanyl) nasal spray; Ragwitek™ (short Ragweed Pollen Allergen Extract); Grastek® (Timothy Grass Pollen Allergen Extract); Myalept™ (metreleptin) injection; Hetlioz™ (tasimelteon) capsule; Orfadin® (nitisinone) capsule; Oxsoralen-Ultra® (methoxsalen) capsule; 8-MOP® (methoxsalen) capsule; Zykadia™ (ceritinib) capsule; Zontivity™ (vorapaxar) tablet;</w:t>
      </w:r>
      <w:r w:rsidR="006044F1">
        <w:rPr>
          <w:rFonts w:ascii="Arial" w:hAnsi="Arial" w:cs="Arial"/>
          <w:sz w:val="18"/>
          <w:szCs w:val="18"/>
        </w:rPr>
        <w:t xml:space="preserve"> Sylvant™ (siltuximab); </w:t>
      </w:r>
      <w:r w:rsidR="008A5955">
        <w:rPr>
          <w:rFonts w:ascii="Arial" w:hAnsi="Arial" w:cs="Arial"/>
          <w:sz w:val="18"/>
          <w:szCs w:val="18"/>
        </w:rPr>
        <w:t xml:space="preserve"> Evzio™ (naloxone) auto-injector; Sitavig® (acyclovir) buccal tablet;</w:t>
      </w:r>
    </w:p>
    <w:p w:rsidR="002A120A" w:rsidRDefault="002A120A" w:rsidP="00553694">
      <w:pPr>
        <w:tabs>
          <w:tab w:val="left" w:pos="1486"/>
        </w:tabs>
        <w:ind w:left="1440" w:hanging="1440"/>
        <w:rPr>
          <w:rFonts w:ascii="Arial" w:hAnsi="Arial" w:cs="Arial"/>
          <w:sz w:val="18"/>
          <w:szCs w:val="18"/>
        </w:rPr>
      </w:pPr>
    </w:p>
    <w:p w:rsidR="00227AD3" w:rsidRPr="00464DAF" w:rsidRDefault="00227AD3" w:rsidP="00227AD3">
      <w:pPr>
        <w:ind w:left="360"/>
      </w:pPr>
      <w:r w:rsidRPr="00464DAF">
        <w:rPr>
          <w:rFonts w:ascii="Arial" w:hAnsi="Arial" w:cs="Arial"/>
          <w:sz w:val="18"/>
          <w:szCs w:val="18"/>
        </w:rPr>
        <w:t xml:space="preserve">All criteria for the point of sale (POS) clinical edits can be viewed on the Medicaid website at </w:t>
      </w:r>
      <w:hyperlink r:id="rId13" w:history="1">
        <w:r w:rsidRPr="00464DAF">
          <w:rPr>
            <w:rStyle w:val="Hyperlink"/>
            <w:rFonts w:ascii="Arial" w:hAnsi="Arial" w:cs="Arial"/>
            <w:sz w:val="18"/>
            <w:szCs w:val="18"/>
          </w:rPr>
          <w:t>https://www.medicaid.state.ar.us/Download/provider/pharm/PACriteria.pdf</w:t>
        </w:r>
      </w:hyperlink>
      <w:r w:rsidRPr="00464DAF">
        <w:t>.</w:t>
      </w:r>
    </w:p>
    <w:p w:rsidR="00227AD3" w:rsidRPr="00464DAF" w:rsidRDefault="00227AD3" w:rsidP="00227AD3">
      <w:pPr>
        <w:ind w:left="720"/>
        <w:rPr>
          <w:rFonts w:ascii="Arial" w:hAnsi="Arial" w:cs="Arial"/>
          <w:sz w:val="18"/>
          <w:szCs w:val="18"/>
        </w:rPr>
      </w:pPr>
    </w:p>
    <w:p w:rsidR="00227AD3" w:rsidRPr="00464DAF" w:rsidRDefault="00227AD3" w:rsidP="00227AD3">
      <w:pPr>
        <w:ind w:left="360"/>
        <w:rPr>
          <w:rFonts w:ascii="Arial" w:hAnsi="Arial" w:cs="Arial"/>
          <w:sz w:val="18"/>
          <w:szCs w:val="18"/>
        </w:rPr>
      </w:pPr>
      <w:r w:rsidRPr="00464DAF">
        <w:rPr>
          <w:rFonts w:ascii="Arial" w:hAnsi="Arial" w:cs="Arial"/>
          <w:sz w:val="18"/>
          <w:szCs w:val="18"/>
        </w:rPr>
        <w:t xml:space="preserve">All drug claim edits, such as quantity edits, dose edits, age edits, or gender edits, can be viewed on the Medicaid website at </w:t>
      </w:r>
      <w:hyperlink r:id="rId14" w:history="1">
        <w:r w:rsidRPr="00464DAF">
          <w:rPr>
            <w:rStyle w:val="Hyperlink"/>
            <w:rFonts w:ascii="Arial" w:hAnsi="Arial" w:cs="Arial"/>
            <w:sz w:val="18"/>
            <w:szCs w:val="18"/>
          </w:rPr>
          <w:t>https://www.medicaid.state.ar.us/Download/provider/pharm/ClaimEdits.xls</w:t>
        </w:r>
      </w:hyperlink>
      <w:r w:rsidRPr="00464DAF">
        <w:rPr>
          <w:rFonts w:ascii="Arial" w:hAnsi="Arial" w:cs="Arial"/>
          <w:sz w:val="18"/>
          <w:szCs w:val="18"/>
        </w:rPr>
        <w:t xml:space="preserve">.    </w:t>
      </w:r>
      <w:r w:rsidR="00F32619" w:rsidRPr="00464DAF">
        <w:rPr>
          <w:rFonts w:ascii="Arial" w:hAnsi="Arial" w:cs="Arial"/>
          <w:sz w:val="18"/>
          <w:szCs w:val="18"/>
        </w:rPr>
        <w:t xml:space="preserve"> </w:t>
      </w:r>
    </w:p>
    <w:p w:rsidR="007E18C5" w:rsidRPr="00FB622F" w:rsidRDefault="007E18C5" w:rsidP="00FB622F">
      <w:pPr>
        <w:pStyle w:val="ListParagraph"/>
        <w:ind w:left="360"/>
        <w:rPr>
          <w:rFonts w:ascii="Arial" w:hAnsi="Arial" w:cs="Arial"/>
          <w:sz w:val="18"/>
          <w:szCs w:val="18"/>
        </w:rPr>
      </w:pPr>
    </w:p>
    <w:p w:rsidR="00233438" w:rsidRDefault="00233438" w:rsidP="00233438">
      <w:pPr>
        <w:pStyle w:val="ListParagraph"/>
        <w:autoSpaceDE w:val="0"/>
        <w:autoSpaceDN w:val="0"/>
        <w:adjustRightInd w:val="0"/>
        <w:ind w:left="0"/>
        <w:rPr>
          <w:rFonts w:ascii="Arial" w:hAnsi="Arial" w:cs="Arial"/>
          <w:b/>
          <w:sz w:val="18"/>
          <w:szCs w:val="18"/>
        </w:rPr>
      </w:pPr>
      <w:r w:rsidRPr="00464DAF">
        <w:rPr>
          <w:rFonts w:ascii="Arial" w:hAnsi="Arial" w:cs="Arial"/>
          <w:b/>
          <w:sz w:val="22"/>
          <w:szCs w:val="22"/>
        </w:rPr>
        <w:t xml:space="preserve">The following edits will be effective </w:t>
      </w:r>
      <w:r w:rsidR="005E5138" w:rsidRPr="005E5138">
        <w:rPr>
          <w:rFonts w:ascii="Arial" w:hAnsi="Arial" w:cs="Arial"/>
          <w:b/>
          <w:sz w:val="22"/>
          <w:szCs w:val="22"/>
        </w:rPr>
        <w:t>Sept. 23</w:t>
      </w:r>
      <w:r w:rsidRPr="005E5138">
        <w:rPr>
          <w:rFonts w:ascii="Arial" w:hAnsi="Arial" w:cs="Arial"/>
          <w:b/>
          <w:sz w:val="22"/>
          <w:szCs w:val="22"/>
        </w:rPr>
        <w:t>, 2014</w:t>
      </w:r>
      <w:r w:rsidRPr="00464DAF">
        <w:rPr>
          <w:rFonts w:ascii="Arial" w:hAnsi="Arial" w:cs="Arial"/>
          <w:b/>
          <w:sz w:val="22"/>
          <w:szCs w:val="22"/>
        </w:rPr>
        <w:t xml:space="preserve"> unless otherwise stated</w:t>
      </w:r>
      <w:r w:rsidRPr="00464DAF">
        <w:rPr>
          <w:rFonts w:ascii="Arial" w:hAnsi="Arial" w:cs="Arial"/>
          <w:b/>
          <w:sz w:val="18"/>
          <w:szCs w:val="18"/>
        </w:rPr>
        <w:t xml:space="preserve">. </w:t>
      </w:r>
    </w:p>
    <w:p w:rsidR="00233438" w:rsidRDefault="00233438" w:rsidP="00233438">
      <w:pPr>
        <w:jc w:val="center"/>
        <w:rPr>
          <w:rFonts w:ascii="Arial" w:hAnsi="Arial" w:cs="Arial"/>
          <w:sz w:val="18"/>
          <w:szCs w:val="18"/>
        </w:rPr>
      </w:pPr>
      <w:r w:rsidRPr="00AB114B">
        <w:rPr>
          <w:rFonts w:ascii="Arial" w:hAnsi="Arial" w:cs="Arial"/>
          <w:sz w:val="18"/>
          <w:szCs w:val="18"/>
        </w:rPr>
        <w:t xml:space="preserve">(Reimbursement rates listed </w:t>
      </w:r>
      <w:r>
        <w:rPr>
          <w:rFonts w:ascii="Arial" w:hAnsi="Arial" w:cs="Arial"/>
          <w:sz w:val="18"/>
          <w:szCs w:val="18"/>
        </w:rPr>
        <w:t>in this memo</w:t>
      </w:r>
      <w:r w:rsidRPr="00AB114B">
        <w:rPr>
          <w:rFonts w:ascii="Arial" w:hAnsi="Arial" w:cs="Arial"/>
          <w:sz w:val="18"/>
          <w:szCs w:val="18"/>
        </w:rPr>
        <w:t xml:space="preserve"> have been rounded to 2 decimals)</w:t>
      </w:r>
    </w:p>
    <w:p w:rsidR="00050DC1" w:rsidRDefault="00050DC1" w:rsidP="00233438">
      <w:pPr>
        <w:jc w:val="center"/>
        <w:rPr>
          <w:rFonts w:ascii="Arial" w:hAnsi="Arial" w:cs="Arial"/>
          <w:sz w:val="18"/>
          <w:szCs w:val="18"/>
        </w:rPr>
      </w:pPr>
    </w:p>
    <w:p w:rsidR="00233438" w:rsidRPr="00251F75" w:rsidRDefault="00233438" w:rsidP="00233438">
      <w:pPr>
        <w:pStyle w:val="ListParagraph"/>
        <w:numPr>
          <w:ilvl w:val="0"/>
          <w:numId w:val="6"/>
        </w:numPr>
        <w:rPr>
          <w:rFonts w:ascii="Arial" w:hAnsi="Arial" w:cs="Arial"/>
          <w:sz w:val="18"/>
          <w:szCs w:val="18"/>
        </w:rPr>
      </w:pPr>
      <w:r w:rsidRPr="00464DAF">
        <w:rPr>
          <w:rFonts w:ascii="Arial" w:hAnsi="Arial" w:cs="Arial"/>
          <w:b/>
          <w:sz w:val="18"/>
          <w:szCs w:val="18"/>
          <w:u w:val="single"/>
        </w:rPr>
        <w:t xml:space="preserve">CHANGES TO EXISTING </w:t>
      </w:r>
      <w:r>
        <w:rPr>
          <w:rFonts w:ascii="Arial" w:hAnsi="Arial" w:cs="Arial"/>
          <w:b/>
          <w:sz w:val="18"/>
          <w:szCs w:val="18"/>
          <w:u w:val="single"/>
        </w:rPr>
        <w:t>PRIOR AUTHORIZATION (PA)</w:t>
      </w:r>
      <w:r w:rsidRPr="00464DAF">
        <w:rPr>
          <w:rFonts w:ascii="Arial" w:hAnsi="Arial" w:cs="Arial"/>
          <w:b/>
          <w:sz w:val="18"/>
          <w:szCs w:val="18"/>
          <w:u w:val="single"/>
        </w:rPr>
        <w:t xml:space="preserve"> CRITERIA OR EDITS</w:t>
      </w:r>
      <w:r w:rsidRPr="00464DAF">
        <w:rPr>
          <w:rFonts w:ascii="Arial" w:hAnsi="Arial" w:cs="Arial"/>
          <w:b/>
          <w:sz w:val="18"/>
          <w:szCs w:val="18"/>
        </w:rPr>
        <w:t xml:space="preserve">: </w:t>
      </w:r>
    </w:p>
    <w:p w:rsidR="00251F75" w:rsidRPr="00251F75" w:rsidRDefault="00251F75" w:rsidP="00251F75">
      <w:pPr>
        <w:pStyle w:val="ListParagraph"/>
        <w:rPr>
          <w:rFonts w:ascii="Arial" w:hAnsi="Arial" w:cs="Arial"/>
          <w:sz w:val="18"/>
          <w:szCs w:val="18"/>
        </w:rPr>
      </w:pPr>
    </w:p>
    <w:p w:rsidR="00251F75" w:rsidRDefault="00251F75" w:rsidP="00251F75">
      <w:pPr>
        <w:pStyle w:val="ListParagraph"/>
        <w:numPr>
          <w:ilvl w:val="1"/>
          <w:numId w:val="6"/>
        </w:numPr>
        <w:rPr>
          <w:rFonts w:ascii="Arial" w:hAnsi="Arial" w:cs="Arial"/>
          <w:b/>
          <w:sz w:val="18"/>
          <w:szCs w:val="18"/>
        </w:rPr>
      </w:pPr>
      <w:r w:rsidRPr="00251F75">
        <w:rPr>
          <w:rFonts w:ascii="Arial" w:hAnsi="Arial" w:cs="Arial"/>
          <w:b/>
          <w:sz w:val="18"/>
          <w:szCs w:val="18"/>
        </w:rPr>
        <w:t>Synagis</w:t>
      </w:r>
      <w:r>
        <w:rPr>
          <w:rFonts w:ascii="Arial" w:hAnsi="Arial" w:cs="Arial"/>
          <w:b/>
          <w:sz w:val="18"/>
          <w:szCs w:val="18"/>
        </w:rPr>
        <w:t>®</w:t>
      </w:r>
      <w:r w:rsidRPr="00251F75">
        <w:rPr>
          <w:rFonts w:ascii="Arial" w:hAnsi="Arial" w:cs="Arial"/>
          <w:b/>
          <w:sz w:val="18"/>
          <w:szCs w:val="18"/>
        </w:rPr>
        <w:t xml:space="preserve"> (palivizumab) injection</w:t>
      </w:r>
      <w:r w:rsidR="00C72A04">
        <w:rPr>
          <w:rFonts w:ascii="Arial" w:hAnsi="Arial" w:cs="Arial"/>
          <w:b/>
          <w:sz w:val="18"/>
          <w:szCs w:val="18"/>
        </w:rPr>
        <w:t xml:space="preserve"> 100 mg/1 ml vial and 50 mg/0.5 ml vial</w:t>
      </w:r>
      <w:r w:rsidRPr="00251F75">
        <w:rPr>
          <w:rFonts w:ascii="Arial" w:hAnsi="Arial" w:cs="Arial"/>
          <w:b/>
          <w:sz w:val="18"/>
          <w:szCs w:val="18"/>
        </w:rPr>
        <w:t>:</w:t>
      </w:r>
      <w:r>
        <w:rPr>
          <w:rFonts w:ascii="Arial" w:hAnsi="Arial" w:cs="Arial"/>
          <w:b/>
          <w:sz w:val="18"/>
          <w:szCs w:val="18"/>
        </w:rPr>
        <w:t xml:space="preserve"> </w:t>
      </w:r>
    </w:p>
    <w:p w:rsidR="00251F75" w:rsidRDefault="00BC7698" w:rsidP="00251F75">
      <w:pPr>
        <w:pStyle w:val="ListParagraph"/>
        <w:ind w:left="1440"/>
        <w:rPr>
          <w:rFonts w:ascii="Arial" w:hAnsi="Arial" w:cs="Arial"/>
          <w:sz w:val="18"/>
          <w:szCs w:val="18"/>
        </w:rPr>
      </w:pPr>
      <w:r w:rsidRPr="00251F75">
        <w:rPr>
          <w:rFonts w:ascii="Arial" w:hAnsi="Arial" w:cs="Arial"/>
          <w:b/>
          <w:sz w:val="18"/>
          <w:szCs w:val="18"/>
        </w:rPr>
        <w:t>Synagis</w:t>
      </w:r>
      <w:r>
        <w:rPr>
          <w:rFonts w:ascii="Arial" w:hAnsi="Arial" w:cs="Arial"/>
          <w:b/>
          <w:sz w:val="18"/>
          <w:szCs w:val="18"/>
        </w:rPr>
        <w:t>®</w:t>
      </w:r>
      <w:r w:rsidR="00251F75" w:rsidRPr="00251F75">
        <w:rPr>
          <w:rFonts w:ascii="Arial" w:hAnsi="Arial" w:cs="Arial"/>
          <w:sz w:val="18"/>
          <w:szCs w:val="18"/>
        </w:rPr>
        <w:t xml:space="preserve"> is indicated for the prevention of serious lower respiratory tract disease caused by respiratory syncytial virus (RSV) in children at high risk of RSV disease.</w:t>
      </w:r>
      <w:r w:rsidR="00C72A04">
        <w:rPr>
          <w:rFonts w:ascii="Arial" w:hAnsi="Arial" w:cs="Arial"/>
          <w:sz w:val="18"/>
          <w:szCs w:val="18"/>
        </w:rPr>
        <w:t xml:space="preserve">  </w:t>
      </w:r>
      <w:r w:rsidR="00C72A04" w:rsidRPr="00C72A04">
        <w:rPr>
          <w:rFonts w:ascii="Arial" w:hAnsi="Arial" w:cs="Arial"/>
          <w:sz w:val="18"/>
          <w:szCs w:val="18"/>
        </w:rPr>
        <w:t xml:space="preserve">The recommended dose of </w:t>
      </w:r>
      <w:r w:rsidRPr="00251F75">
        <w:rPr>
          <w:rFonts w:ascii="Arial" w:hAnsi="Arial" w:cs="Arial"/>
          <w:b/>
          <w:sz w:val="18"/>
          <w:szCs w:val="18"/>
        </w:rPr>
        <w:t>Synagis</w:t>
      </w:r>
      <w:r>
        <w:rPr>
          <w:rFonts w:ascii="Arial" w:hAnsi="Arial" w:cs="Arial"/>
          <w:b/>
          <w:sz w:val="18"/>
          <w:szCs w:val="18"/>
        </w:rPr>
        <w:t>®</w:t>
      </w:r>
      <w:r w:rsidR="00C72A04" w:rsidRPr="00C72A04">
        <w:rPr>
          <w:rFonts w:ascii="Arial" w:hAnsi="Arial" w:cs="Arial"/>
          <w:sz w:val="18"/>
          <w:szCs w:val="18"/>
        </w:rPr>
        <w:t xml:space="preserve"> is 15 mg per kg of body weight given monthly </w:t>
      </w:r>
      <w:r w:rsidR="008252F5">
        <w:rPr>
          <w:rFonts w:ascii="Arial" w:hAnsi="Arial" w:cs="Arial"/>
          <w:sz w:val="18"/>
          <w:szCs w:val="18"/>
        </w:rPr>
        <w:t xml:space="preserve">during RSV season </w:t>
      </w:r>
      <w:r w:rsidR="00C72A04" w:rsidRPr="00C72A04">
        <w:rPr>
          <w:rFonts w:ascii="Arial" w:hAnsi="Arial" w:cs="Arial"/>
          <w:sz w:val="18"/>
          <w:szCs w:val="18"/>
        </w:rPr>
        <w:t>by intramuscular injection.</w:t>
      </w:r>
    </w:p>
    <w:p w:rsidR="00C72A04" w:rsidRDefault="00C72A04" w:rsidP="00251F75">
      <w:pPr>
        <w:pStyle w:val="ListParagraph"/>
        <w:ind w:left="1440"/>
        <w:rPr>
          <w:rFonts w:ascii="Arial" w:hAnsi="Arial" w:cs="Arial"/>
          <w:sz w:val="18"/>
          <w:szCs w:val="18"/>
        </w:rPr>
      </w:pPr>
    </w:p>
    <w:p w:rsidR="009403A5" w:rsidRDefault="00C72A04" w:rsidP="00251F75">
      <w:pPr>
        <w:pStyle w:val="ListParagraph"/>
        <w:ind w:left="1440"/>
        <w:rPr>
          <w:rFonts w:ascii="Arial" w:hAnsi="Arial" w:cs="Arial"/>
          <w:sz w:val="18"/>
          <w:szCs w:val="18"/>
        </w:rPr>
      </w:pPr>
      <w:r>
        <w:rPr>
          <w:rFonts w:ascii="Arial" w:hAnsi="Arial" w:cs="Arial"/>
          <w:sz w:val="18"/>
          <w:szCs w:val="18"/>
        </w:rPr>
        <w:t xml:space="preserve">The </w:t>
      </w:r>
      <w:r w:rsidR="00BC7698" w:rsidRPr="00251F75">
        <w:rPr>
          <w:rFonts w:ascii="Arial" w:hAnsi="Arial" w:cs="Arial"/>
          <w:b/>
          <w:sz w:val="18"/>
          <w:szCs w:val="18"/>
        </w:rPr>
        <w:t>Synagis</w:t>
      </w:r>
      <w:r w:rsidR="00BC7698">
        <w:rPr>
          <w:rFonts w:ascii="Arial" w:hAnsi="Arial" w:cs="Arial"/>
          <w:b/>
          <w:sz w:val="18"/>
          <w:szCs w:val="18"/>
        </w:rPr>
        <w:t>®</w:t>
      </w:r>
      <w:r w:rsidR="002F5DC6">
        <w:rPr>
          <w:rFonts w:ascii="Arial" w:hAnsi="Arial" w:cs="Arial"/>
          <w:sz w:val="18"/>
          <w:szCs w:val="18"/>
        </w:rPr>
        <w:t xml:space="preserve"> </w:t>
      </w:r>
      <w:r>
        <w:rPr>
          <w:rFonts w:ascii="Arial" w:hAnsi="Arial" w:cs="Arial"/>
          <w:sz w:val="18"/>
          <w:szCs w:val="18"/>
        </w:rPr>
        <w:t>reimbursement rate for</w:t>
      </w:r>
      <w:r w:rsidR="002F5DC6">
        <w:rPr>
          <w:rFonts w:ascii="Arial" w:hAnsi="Arial" w:cs="Arial"/>
          <w:sz w:val="18"/>
          <w:szCs w:val="18"/>
        </w:rPr>
        <w:t xml:space="preserve"> the previous RSV season was</w:t>
      </w:r>
      <w:r w:rsidR="009403A5">
        <w:rPr>
          <w:rFonts w:ascii="Arial" w:hAnsi="Arial" w:cs="Arial"/>
          <w:sz w:val="18"/>
          <w:szCs w:val="18"/>
        </w:rPr>
        <w:t xml:space="preserve"> listed as the following:</w:t>
      </w:r>
      <w:r>
        <w:rPr>
          <w:rFonts w:ascii="Arial" w:hAnsi="Arial" w:cs="Arial"/>
          <w:sz w:val="18"/>
          <w:szCs w:val="18"/>
        </w:rPr>
        <w:t xml:space="preserve">  </w:t>
      </w:r>
    </w:p>
    <w:p w:rsidR="00C72A04" w:rsidRDefault="003145B3" w:rsidP="00251F75">
      <w:pPr>
        <w:pStyle w:val="ListParagraph"/>
        <w:ind w:left="1440"/>
        <w:rPr>
          <w:rFonts w:ascii="Arial" w:hAnsi="Arial" w:cs="Arial"/>
          <w:sz w:val="18"/>
          <w:szCs w:val="18"/>
        </w:rPr>
      </w:pPr>
      <w:r>
        <w:rPr>
          <w:rFonts w:ascii="Arial" w:hAnsi="Arial" w:cs="Arial"/>
          <w:sz w:val="18"/>
          <w:szCs w:val="18"/>
        </w:rPr>
        <w:t>each</w:t>
      </w:r>
      <w:r w:rsidR="008252F5">
        <w:rPr>
          <w:rFonts w:ascii="Arial" w:hAnsi="Arial" w:cs="Arial"/>
          <w:sz w:val="18"/>
          <w:szCs w:val="18"/>
        </w:rPr>
        <w:t xml:space="preserve"> </w:t>
      </w:r>
      <w:r w:rsidR="00C72A04">
        <w:rPr>
          <w:rFonts w:ascii="Arial" w:hAnsi="Arial" w:cs="Arial"/>
          <w:sz w:val="18"/>
          <w:szCs w:val="18"/>
        </w:rPr>
        <w:t>100 mg vial = $</w:t>
      </w:r>
      <w:r w:rsidR="00C72A04" w:rsidRPr="00C72A04">
        <w:rPr>
          <w:rFonts w:ascii="Arial" w:hAnsi="Arial" w:cs="Arial"/>
          <w:sz w:val="18"/>
          <w:szCs w:val="18"/>
        </w:rPr>
        <w:t xml:space="preserve"> 2</w:t>
      </w:r>
      <w:r w:rsidR="008252F5">
        <w:rPr>
          <w:rFonts w:ascii="Arial" w:hAnsi="Arial" w:cs="Arial"/>
          <w:sz w:val="18"/>
          <w:szCs w:val="18"/>
        </w:rPr>
        <w:t>,</w:t>
      </w:r>
      <w:r w:rsidR="00C72A04" w:rsidRPr="00C72A04">
        <w:rPr>
          <w:rFonts w:ascii="Arial" w:hAnsi="Arial" w:cs="Arial"/>
          <w:sz w:val="18"/>
          <w:szCs w:val="18"/>
        </w:rPr>
        <w:t>468.68</w:t>
      </w:r>
      <w:r w:rsidR="00532D4A" w:rsidRPr="00C72A04">
        <w:rPr>
          <w:rFonts w:ascii="Arial" w:hAnsi="Arial" w:cs="Arial"/>
          <w:sz w:val="18"/>
          <w:szCs w:val="18"/>
        </w:rPr>
        <w:t xml:space="preserve">; </w:t>
      </w:r>
      <w:r>
        <w:rPr>
          <w:rFonts w:ascii="Arial" w:hAnsi="Arial" w:cs="Arial"/>
          <w:sz w:val="18"/>
          <w:szCs w:val="18"/>
        </w:rPr>
        <w:t>each</w:t>
      </w:r>
      <w:r w:rsidR="008252F5">
        <w:rPr>
          <w:rFonts w:ascii="Arial" w:hAnsi="Arial" w:cs="Arial"/>
          <w:sz w:val="18"/>
          <w:szCs w:val="18"/>
        </w:rPr>
        <w:t xml:space="preserve"> </w:t>
      </w:r>
      <w:r w:rsidR="00C72A04">
        <w:rPr>
          <w:rFonts w:ascii="Arial" w:hAnsi="Arial" w:cs="Arial"/>
          <w:sz w:val="18"/>
          <w:szCs w:val="18"/>
        </w:rPr>
        <w:t>50 mg vial = $</w:t>
      </w:r>
      <w:r w:rsidR="002F5DC6">
        <w:rPr>
          <w:rFonts w:ascii="Arial" w:hAnsi="Arial" w:cs="Arial"/>
          <w:sz w:val="18"/>
          <w:szCs w:val="18"/>
        </w:rPr>
        <w:t>1,307.36</w:t>
      </w:r>
      <w:r w:rsidR="00C72A04">
        <w:rPr>
          <w:rFonts w:ascii="Arial" w:hAnsi="Arial" w:cs="Arial"/>
          <w:sz w:val="18"/>
          <w:szCs w:val="18"/>
        </w:rPr>
        <w:t xml:space="preserve">. </w:t>
      </w:r>
      <w:r w:rsidR="008252F5">
        <w:rPr>
          <w:rFonts w:ascii="Arial" w:hAnsi="Arial" w:cs="Arial"/>
          <w:sz w:val="18"/>
          <w:szCs w:val="18"/>
        </w:rPr>
        <w:t xml:space="preserve"> </w:t>
      </w:r>
    </w:p>
    <w:p w:rsidR="00251F75" w:rsidRDefault="00251F75" w:rsidP="00251F75">
      <w:pPr>
        <w:pStyle w:val="ListParagraph"/>
        <w:ind w:left="1440"/>
        <w:rPr>
          <w:rFonts w:ascii="Arial" w:hAnsi="Arial" w:cs="Arial"/>
          <w:sz w:val="18"/>
          <w:szCs w:val="18"/>
        </w:rPr>
      </w:pPr>
    </w:p>
    <w:p w:rsidR="00251F75" w:rsidRDefault="00251F75" w:rsidP="00251F75">
      <w:pPr>
        <w:pStyle w:val="ListParagraph"/>
        <w:ind w:left="1440"/>
        <w:rPr>
          <w:rFonts w:ascii="Arial" w:hAnsi="Arial" w:cs="Arial"/>
          <w:sz w:val="18"/>
          <w:szCs w:val="18"/>
        </w:rPr>
      </w:pPr>
      <w:r>
        <w:rPr>
          <w:rFonts w:ascii="Arial" w:hAnsi="Arial" w:cs="Arial"/>
          <w:sz w:val="18"/>
          <w:szCs w:val="18"/>
        </w:rPr>
        <w:t xml:space="preserve">The American Academy of Pediatrics (AAP) Committee On Infectious Diseases (COID) and Bronchiolitis Guidelines Committee released </w:t>
      </w:r>
      <w:r w:rsidR="001259E8">
        <w:rPr>
          <w:rFonts w:ascii="Arial" w:hAnsi="Arial" w:cs="Arial"/>
          <w:sz w:val="18"/>
          <w:szCs w:val="18"/>
        </w:rPr>
        <w:t>the</w:t>
      </w:r>
      <w:r w:rsidR="00E21D13">
        <w:rPr>
          <w:rFonts w:ascii="Arial" w:hAnsi="Arial" w:cs="Arial"/>
          <w:sz w:val="18"/>
          <w:szCs w:val="18"/>
        </w:rPr>
        <w:t xml:space="preserve"> 2014</w:t>
      </w:r>
      <w:r w:rsidR="001259E8">
        <w:rPr>
          <w:rFonts w:ascii="Arial" w:hAnsi="Arial" w:cs="Arial"/>
          <w:sz w:val="18"/>
          <w:szCs w:val="18"/>
        </w:rPr>
        <w:t xml:space="preserve"> </w:t>
      </w:r>
      <w:r w:rsidRPr="00251F75">
        <w:rPr>
          <w:rFonts w:ascii="Arial" w:hAnsi="Arial" w:cs="Arial"/>
          <w:i/>
          <w:sz w:val="18"/>
          <w:szCs w:val="18"/>
        </w:rPr>
        <w:t>Updated Guidance for Palivizumab Prophylaxis among Infants and Young Children at Increased Risk of Hospitalization f</w:t>
      </w:r>
      <w:r>
        <w:rPr>
          <w:rFonts w:ascii="Arial" w:hAnsi="Arial" w:cs="Arial"/>
          <w:i/>
          <w:sz w:val="18"/>
          <w:szCs w:val="18"/>
        </w:rPr>
        <w:t>or Respiratory Syncytial V</w:t>
      </w:r>
      <w:r w:rsidRPr="00251F75">
        <w:rPr>
          <w:rFonts w:ascii="Arial" w:hAnsi="Arial" w:cs="Arial"/>
          <w:i/>
          <w:sz w:val="18"/>
          <w:szCs w:val="18"/>
        </w:rPr>
        <w:t>irus Infection</w:t>
      </w:r>
      <w:r>
        <w:rPr>
          <w:rFonts w:ascii="Arial" w:hAnsi="Arial" w:cs="Arial"/>
          <w:sz w:val="18"/>
          <w:szCs w:val="18"/>
        </w:rPr>
        <w:t xml:space="preserve"> on July 28, 2014.  </w:t>
      </w:r>
    </w:p>
    <w:p w:rsidR="00251F75" w:rsidRDefault="00251F75" w:rsidP="00251F75">
      <w:pPr>
        <w:pStyle w:val="ListParagraph"/>
        <w:ind w:left="1440"/>
        <w:rPr>
          <w:rFonts w:ascii="Arial" w:hAnsi="Arial" w:cs="Arial"/>
          <w:sz w:val="18"/>
          <w:szCs w:val="18"/>
        </w:rPr>
      </w:pPr>
    </w:p>
    <w:p w:rsidR="00614A66" w:rsidRDefault="00251F75" w:rsidP="00251F75">
      <w:pPr>
        <w:pStyle w:val="ListParagraph"/>
        <w:ind w:left="1440"/>
        <w:rPr>
          <w:rFonts w:ascii="Arial" w:hAnsi="Arial" w:cs="Arial"/>
          <w:sz w:val="18"/>
          <w:szCs w:val="18"/>
        </w:rPr>
      </w:pPr>
      <w:r>
        <w:rPr>
          <w:rFonts w:ascii="Arial" w:hAnsi="Arial" w:cs="Arial"/>
          <w:sz w:val="18"/>
          <w:szCs w:val="18"/>
        </w:rPr>
        <w:t xml:space="preserve">A special meeting was called for the AR Medicaid DUR Board members to review the </w:t>
      </w:r>
      <w:r w:rsidR="00C72A04">
        <w:rPr>
          <w:rFonts w:ascii="Arial" w:hAnsi="Arial" w:cs="Arial"/>
          <w:sz w:val="18"/>
          <w:szCs w:val="18"/>
        </w:rPr>
        <w:t xml:space="preserve">changes in the </w:t>
      </w:r>
      <w:r>
        <w:rPr>
          <w:rFonts w:ascii="Arial" w:hAnsi="Arial" w:cs="Arial"/>
          <w:sz w:val="18"/>
          <w:szCs w:val="18"/>
        </w:rPr>
        <w:t xml:space="preserve">AAP Policy statement </w:t>
      </w:r>
      <w:r w:rsidR="001259E8">
        <w:rPr>
          <w:rFonts w:ascii="Arial" w:hAnsi="Arial" w:cs="Arial"/>
          <w:sz w:val="18"/>
          <w:szCs w:val="18"/>
        </w:rPr>
        <w:t xml:space="preserve">guideline recommendations </w:t>
      </w:r>
      <w:r>
        <w:rPr>
          <w:rFonts w:ascii="Arial" w:hAnsi="Arial" w:cs="Arial"/>
          <w:sz w:val="18"/>
          <w:szCs w:val="18"/>
        </w:rPr>
        <w:t>and the AAP technical report.   Based on the review of the data</w:t>
      </w:r>
      <w:r w:rsidR="001259E8">
        <w:rPr>
          <w:rFonts w:ascii="Arial" w:hAnsi="Arial" w:cs="Arial"/>
          <w:sz w:val="18"/>
          <w:szCs w:val="18"/>
        </w:rPr>
        <w:t xml:space="preserve"> and the recommendations </w:t>
      </w:r>
      <w:r w:rsidR="00C47DDE">
        <w:rPr>
          <w:rFonts w:ascii="Arial" w:hAnsi="Arial" w:cs="Arial"/>
          <w:sz w:val="18"/>
          <w:szCs w:val="18"/>
        </w:rPr>
        <w:t>made by</w:t>
      </w:r>
      <w:r w:rsidR="001259E8">
        <w:rPr>
          <w:rFonts w:ascii="Arial" w:hAnsi="Arial" w:cs="Arial"/>
          <w:sz w:val="18"/>
          <w:szCs w:val="18"/>
        </w:rPr>
        <w:t xml:space="preserve"> the AAP committee</w:t>
      </w:r>
      <w:r>
        <w:rPr>
          <w:rFonts w:ascii="Arial" w:hAnsi="Arial" w:cs="Arial"/>
          <w:sz w:val="18"/>
          <w:szCs w:val="18"/>
        </w:rPr>
        <w:t xml:space="preserve">, the DUR Board approved </w:t>
      </w:r>
      <w:r w:rsidR="001259E8">
        <w:rPr>
          <w:rFonts w:ascii="Arial" w:hAnsi="Arial" w:cs="Arial"/>
          <w:sz w:val="18"/>
          <w:szCs w:val="18"/>
        </w:rPr>
        <w:t xml:space="preserve">the following </w:t>
      </w:r>
      <w:r w:rsidR="00C47DDE">
        <w:rPr>
          <w:rFonts w:ascii="Arial" w:hAnsi="Arial" w:cs="Arial"/>
          <w:sz w:val="18"/>
          <w:szCs w:val="18"/>
        </w:rPr>
        <w:t>PA criteria</w:t>
      </w:r>
      <w:r>
        <w:rPr>
          <w:rFonts w:ascii="Arial" w:hAnsi="Arial" w:cs="Arial"/>
          <w:sz w:val="18"/>
          <w:szCs w:val="18"/>
        </w:rPr>
        <w:t xml:space="preserve"> for </w:t>
      </w:r>
      <w:r w:rsidR="00C47DDE">
        <w:rPr>
          <w:rFonts w:ascii="Arial" w:hAnsi="Arial" w:cs="Arial"/>
          <w:sz w:val="18"/>
          <w:szCs w:val="18"/>
        </w:rPr>
        <w:t xml:space="preserve">the </w:t>
      </w:r>
      <w:r w:rsidR="00BC7698" w:rsidRPr="00251F75">
        <w:rPr>
          <w:rFonts w:ascii="Arial" w:hAnsi="Arial" w:cs="Arial"/>
          <w:b/>
          <w:sz w:val="18"/>
          <w:szCs w:val="18"/>
        </w:rPr>
        <w:t>Synagis</w:t>
      </w:r>
      <w:r w:rsidR="00BC7698">
        <w:rPr>
          <w:rFonts w:ascii="Arial" w:hAnsi="Arial" w:cs="Arial"/>
          <w:b/>
          <w:sz w:val="18"/>
          <w:szCs w:val="18"/>
        </w:rPr>
        <w:t>®</w:t>
      </w:r>
      <w:r>
        <w:rPr>
          <w:rFonts w:ascii="Arial" w:hAnsi="Arial" w:cs="Arial"/>
          <w:sz w:val="18"/>
          <w:szCs w:val="18"/>
        </w:rPr>
        <w:t xml:space="preserve"> (palivizumab)</w:t>
      </w:r>
      <w:r w:rsidR="00C47DDE">
        <w:rPr>
          <w:rFonts w:ascii="Arial" w:hAnsi="Arial" w:cs="Arial"/>
          <w:sz w:val="18"/>
          <w:szCs w:val="18"/>
        </w:rPr>
        <w:t xml:space="preserve"> PA form.  The revised criteria </w:t>
      </w:r>
      <w:r w:rsidR="001259E8">
        <w:rPr>
          <w:rFonts w:ascii="Arial" w:hAnsi="Arial" w:cs="Arial"/>
          <w:sz w:val="18"/>
          <w:szCs w:val="18"/>
        </w:rPr>
        <w:t>will begin with the 2014</w:t>
      </w:r>
      <w:r w:rsidR="008B5595">
        <w:rPr>
          <w:rFonts w:ascii="Arial" w:hAnsi="Arial" w:cs="Arial"/>
          <w:sz w:val="18"/>
          <w:szCs w:val="18"/>
        </w:rPr>
        <w:t xml:space="preserve"> </w:t>
      </w:r>
      <w:r w:rsidR="001259E8">
        <w:rPr>
          <w:rFonts w:ascii="Arial" w:hAnsi="Arial" w:cs="Arial"/>
          <w:sz w:val="18"/>
          <w:szCs w:val="18"/>
        </w:rPr>
        <w:t>-</w:t>
      </w:r>
      <w:r w:rsidR="008B5595">
        <w:rPr>
          <w:rFonts w:ascii="Arial" w:hAnsi="Arial" w:cs="Arial"/>
          <w:sz w:val="18"/>
          <w:szCs w:val="18"/>
        </w:rPr>
        <w:t xml:space="preserve"> </w:t>
      </w:r>
      <w:r w:rsidR="001259E8">
        <w:rPr>
          <w:rFonts w:ascii="Arial" w:hAnsi="Arial" w:cs="Arial"/>
          <w:sz w:val="18"/>
          <w:szCs w:val="18"/>
        </w:rPr>
        <w:t>2015 RSV season (Nov. 1, 2014</w:t>
      </w:r>
      <w:r w:rsidR="008B5595">
        <w:rPr>
          <w:rFonts w:ascii="Arial" w:hAnsi="Arial" w:cs="Arial"/>
          <w:sz w:val="18"/>
          <w:szCs w:val="18"/>
        </w:rPr>
        <w:t xml:space="preserve"> </w:t>
      </w:r>
      <w:r w:rsidR="001259E8">
        <w:rPr>
          <w:rFonts w:ascii="Arial" w:hAnsi="Arial" w:cs="Arial"/>
          <w:sz w:val="18"/>
          <w:szCs w:val="18"/>
        </w:rPr>
        <w:t xml:space="preserve">- March 31, 2015).  </w:t>
      </w:r>
    </w:p>
    <w:p w:rsidR="00614A66" w:rsidRDefault="00614A66">
      <w:pPr>
        <w:spacing w:after="200" w:line="276" w:lineRule="auto"/>
        <w:rPr>
          <w:rFonts w:ascii="Arial" w:hAnsi="Arial" w:cs="Arial"/>
          <w:sz w:val="18"/>
          <w:szCs w:val="18"/>
        </w:rPr>
      </w:pPr>
      <w:r>
        <w:rPr>
          <w:rFonts w:ascii="Arial" w:hAnsi="Arial" w:cs="Arial"/>
          <w:sz w:val="18"/>
          <w:szCs w:val="18"/>
        </w:rPr>
        <w:br w:type="page"/>
      </w:r>
    </w:p>
    <w:p w:rsidR="001259E8" w:rsidRPr="001259E8" w:rsidRDefault="001259E8" w:rsidP="00F4695A">
      <w:pPr>
        <w:pStyle w:val="ListParagraph"/>
        <w:numPr>
          <w:ilvl w:val="0"/>
          <w:numId w:val="39"/>
        </w:numPr>
        <w:ind w:left="2160"/>
        <w:rPr>
          <w:rFonts w:ascii="Arial" w:hAnsi="Arial" w:cs="Arial"/>
          <w:sz w:val="18"/>
          <w:szCs w:val="18"/>
        </w:rPr>
      </w:pPr>
      <w:r w:rsidRPr="001259E8">
        <w:rPr>
          <w:rFonts w:ascii="Arial" w:hAnsi="Arial" w:cs="Arial"/>
          <w:sz w:val="18"/>
          <w:szCs w:val="18"/>
        </w:rPr>
        <w:t>Chronic lung disease of prematurity (CLD) AND &lt; 2 years of age at start of RSV season.  CLD of prematurity is defined as gestational age &lt;</w:t>
      </w:r>
      <w:r w:rsidR="008B5595">
        <w:rPr>
          <w:rFonts w:ascii="Arial" w:hAnsi="Arial" w:cs="Arial"/>
          <w:sz w:val="18"/>
          <w:szCs w:val="18"/>
        </w:rPr>
        <w:t xml:space="preserve"> </w:t>
      </w:r>
      <w:r w:rsidRPr="001259E8">
        <w:rPr>
          <w:rFonts w:ascii="Arial" w:hAnsi="Arial" w:cs="Arial"/>
          <w:sz w:val="18"/>
          <w:szCs w:val="18"/>
        </w:rPr>
        <w:t>32 weeks, 0 days and a requirement for &gt;</w:t>
      </w:r>
      <w:r w:rsidR="008B5595">
        <w:rPr>
          <w:rFonts w:ascii="Arial" w:hAnsi="Arial" w:cs="Arial"/>
          <w:sz w:val="18"/>
          <w:szCs w:val="18"/>
        </w:rPr>
        <w:t xml:space="preserve"> </w:t>
      </w:r>
      <w:r w:rsidRPr="001259E8">
        <w:rPr>
          <w:rFonts w:ascii="Arial" w:hAnsi="Arial" w:cs="Arial"/>
          <w:sz w:val="18"/>
          <w:szCs w:val="18"/>
        </w:rPr>
        <w:t>21% oxygen for at least the first 28 days after birth.  A second season of palivizumab prophylaxis is recommended only for infants with CLD of prematurity as defined above and who continue to require supplemental oxygen, chronic systemic corticosteroid therapy, diuretic therapy, or bronchodilator therapy during the 6 month period before the start of the second RSV season.</w:t>
      </w:r>
    </w:p>
    <w:p w:rsidR="001259E8" w:rsidRPr="001259E8" w:rsidRDefault="001259E8" w:rsidP="00F4695A">
      <w:pPr>
        <w:pStyle w:val="ListParagraph"/>
        <w:ind w:left="1440"/>
        <w:rPr>
          <w:rFonts w:ascii="Arial" w:hAnsi="Arial" w:cs="Arial"/>
          <w:sz w:val="18"/>
          <w:szCs w:val="18"/>
        </w:rPr>
      </w:pPr>
    </w:p>
    <w:p w:rsidR="001259E8" w:rsidRPr="001259E8" w:rsidRDefault="001259E8" w:rsidP="00F4695A">
      <w:pPr>
        <w:pStyle w:val="ListParagraph"/>
        <w:numPr>
          <w:ilvl w:val="0"/>
          <w:numId w:val="39"/>
        </w:numPr>
        <w:ind w:left="2160"/>
        <w:rPr>
          <w:rFonts w:ascii="Arial" w:hAnsi="Arial" w:cs="Arial"/>
          <w:sz w:val="18"/>
          <w:szCs w:val="18"/>
        </w:rPr>
      </w:pPr>
      <w:r w:rsidRPr="001259E8">
        <w:rPr>
          <w:rFonts w:ascii="Arial" w:hAnsi="Arial" w:cs="Arial"/>
          <w:sz w:val="18"/>
          <w:szCs w:val="18"/>
        </w:rPr>
        <w:t>Former premature (≤ 28 weeks, 6 days estimated gestational age (EGA)) AND &lt; 12 months of age at the start of RSV season.  For infants born during the RSV season, fewer than 5 monthly doses will be needed.</w:t>
      </w:r>
    </w:p>
    <w:p w:rsidR="001259E8" w:rsidRPr="001259E8" w:rsidRDefault="001259E8" w:rsidP="00F4695A">
      <w:pPr>
        <w:pStyle w:val="ListParagraph"/>
        <w:ind w:left="1440"/>
        <w:rPr>
          <w:rFonts w:ascii="Arial" w:hAnsi="Arial" w:cs="Arial"/>
          <w:sz w:val="18"/>
          <w:szCs w:val="18"/>
        </w:rPr>
      </w:pPr>
    </w:p>
    <w:p w:rsidR="001259E8" w:rsidRPr="001259E8" w:rsidRDefault="001259E8" w:rsidP="00F4695A">
      <w:pPr>
        <w:pStyle w:val="ListParagraph"/>
        <w:numPr>
          <w:ilvl w:val="0"/>
          <w:numId w:val="39"/>
        </w:numPr>
        <w:ind w:left="2160"/>
        <w:rPr>
          <w:rFonts w:ascii="Arial" w:hAnsi="Arial" w:cs="Arial"/>
          <w:sz w:val="18"/>
          <w:szCs w:val="18"/>
        </w:rPr>
      </w:pPr>
      <w:r w:rsidRPr="001259E8">
        <w:rPr>
          <w:rFonts w:ascii="Arial" w:hAnsi="Arial" w:cs="Arial"/>
          <w:sz w:val="18"/>
          <w:szCs w:val="18"/>
        </w:rPr>
        <w:t xml:space="preserve">Infants ≤ 12 months of age at start of RSV season with hemodynamically significant congenital heart disease (CHD).  Children that meet </w:t>
      </w:r>
      <w:r w:rsidR="00C47DDE" w:rsidRPr="001259E8">
        <w:rPr>
          <w:rFonts w:ascii="Arial" w:hAnsi="Arial" w:cs="Arial"/>
          <w:sz w:val="18"/>
          <w:szCs w:val="18"/>
        </w:rPr>
        <w:t>these criteria</w:t>
      </w:r>
      <w:r w:rsidRPr="001259E8">
        <w:rPr>
          <w:rFonts w:ascii="Arial" w:hAnsi="Arial" w:cs="Arial"/>
          <w:sz w:val="18"/>
          <w:szCs w:val="18"/>
        </w:rPr>
        <w:t xml:space="preserve"> will be: a) infants with acyanotic heart disease who are receiving medication to control congestive heart failure and will require cardiac surgical procedures </w:t>
      </w:r>
      <w:r w:rsidR="00C47DDE">
        <w:rPr>
          <w:rFonts w:ascii="Arial" w:hAnsi="Arial" w:cs="Arial"/>
          <w:sz w:val="18"/>
          <w:szCs w:val="18"/>
        </w:rPr>
        <w:t>and</w:t>
      </w:r>
      <w:r w:rsidRPr="001259E8">
        <w:rPr>
          <w:rFonts w:ascii="Arial" w:hAnsi="Arial" w:cs="Arial"/>
          <w:sz w:val="18"/>
          <w:szCs w:val="18"/>
        </w:rPr>
        <w:t xml:space="preserve"> b) infants with moderate to severe pulmonary hypertension.  Infants with cyanotic heart defects in the first year of life will be reviewed on a case by case basis.</w:t>
      </w:r>
    </w:p>
    <w:p w:rsidR="001259E8" w:rsidRPr="001259E8" w:rsidRDefault="001259E8" w:rsidP="00F4695A">
      <w:pPr>
        <w:pStyle w:val="ListParagraph"/>
        <w:ind w:left="1440"/>
        <w:rPr>
          <w:rFonts w:ascii="Arial" w:hAnsi="Arial" w:cs="Arial"/>
          <w:sz w:val="18"/>
          <w:szCs w:val="18"/>
        </w:rPr>
      </w:pPr>
    </w:p>
    <w:p w:rsidR="001259E8" w:rsidRPr="001259E8" w:rsidRDefault="001259E8" w:rsidP="00F4695A">
      <w:pPr>
        <w:pStyle w:val="ListParagraph"/>
        <w:numPr>
          <w:ilvl w:val="0"/>
          <w:numId w:val="39"/>
        </w:numPr>
        <w:ind w:left="2160"/>
        <w:rPr>
          <w:rFonts w:ascii="Arial" w:hAnsi="Arial" w:cs="Arial"/>
          <w:sz w:val="18"/>
          <w:szCs w:val="18"/>
        </w:rPr>
      </w:pPr>
      <w:r w:rsidRPr="001259E8">
        <w:rPr>
          <w:rFonts w:ascii="Arial" w:hAnsi="Arial" w:cs="Arial"/>
          <w:sz w:val="18"/>
          <w:szCs w:val="18"/>
        </w:rPr>
        <w:t>Infants &lt; 12 months of age at start of RSV season with neuromuscular disease or congenital anomaly that impairs the ability to clear secretions from the upper airway because of ineffective cough</w:t>
      </w:r>
    </w:p>
    <w:p w:rsidR="001259E8" w:rsidRPr="001259E8" w:rsidRDefault="001259E8" w:rsidP="00F4695A">
      <w:pPr>
        <w:pStyle w:val="ListParagraph"/>
        <w:ind w:left="1440"/>
        <w:rPr>
          <w:rFonts w:ascii="Arial" w:hAnsi="Arial" w:cs="Arial"/>
          <w:sz w:val="18"/>
          <w:szCs w:val="18"/>
        </w:rPr>
      </w:pPr>
    </w:p>
    <w:p w:rsidR="00F4695A" w:rsidRDefault="001259E8" w:rsidP="00F4695A">
      <w:pPr>
        <w:pStyle w:val="ListParagraph"/>
        <w:numPr>
          <w:ilvl w:val="0"/>
          <w:numId w:val="39"/>
        </w:numPr>
        <w:ind w:left="2160"/>
        <w:rPr>
          <w:rFonts w:ascii="Arial" w:hAnsi="Arial" w:cs="Arial"/>
          <w:sz w:val="18"/>
          <w:szCs w:val="18"/>
        </w:rPr>
      </w:pPr>
      <w:r w:rsidRPr="001259E8">
        <w:rPr>
          <w:rFonts w:ascii="Arial" w:hAnsi="Arial" w:cs="Arial"/>
          <w:sz w:val="18"/>
          <w:szCs w:val="18"/>
        </w:rPr>
        <w:t xml:space="preserve">Severe immunocompromised AND </w:t>
      </w:r>
      <w:r w:rsidR="009403A5">
        <w:rPr>
          <w:rFonts w:ascii="Arial" w:hAnsi="Arial" w:cs="Arial"/>
          <w:sz w:val="18"/>
          <w:szCs w:val="18"/>
        </w:rPr>
        <w:t xml:space="preserve">patient </w:t>
      </w:r>
      <w:r w:rsidRPr="001259E8">
        <w:rPr>
          <w:rFonts w:ascii="Arial" w:hAnsi="Arial" w:cs="Arial"/>
          <w:sz w:val="18"/>
          <w:szCs w:val="18"/>
        </w:rPr>
        <w:t>is &lt; 2 years of age</w:t>
      </w:r>
      <w:r w:rsidR="00C47DDE">
        <w:rPr>
          <w:rFonts w:ascii="Arial" w:hAnsi="Arial" w:cs="Arial"/>
          <w:sz w:val="18"/>
          <w:szCs w:val="18"/>
        </w:rPr>
        <w:t xml:space="preserve"> at the start of RSV season.</w:t>
      </w:r>
    </w:p>
    <w:p w:rsidR="00F4695A" w:rsidRDefault="00F4695A" w:rsidP="00F4695A">
      <w:pPr>
        <w:rPr>
          <w:rFonts w:ascii="Arial" w:hAnsi="Arial" w:cs="Arial"/>
          <w:sz w:val="18"/>
          <w:szCs w:val="18"/>
        </w:rPr>
      </w:pPr>
    </w:p>
    <w:p w:rsidR="00F4695A" w:rsidRDefault="00F4695A" w:rsidP="00F4695A">
      <w:pPr>
        <w:pStyle w:val="ListParagraph"/>
        <w:ind w:left="1440"/>
        <w:rPr>
          <w:rFonts w:ascii="Arial" w:hAnsi="Arial" w:cs="Arial"/>
          <w:sz w:val="18"/>
          <w:szCs w:val="18"/>
        </w:rPr>
      </w:pPr>
      <w:r>
        <w:rPr>
          <w:rFonts w:ascii="Arial" w:hAnsi="Arial" w:cs="Arial"/>
          <w:sz w:val="18"/>
          <w:szCs w:val="18"/>
        </w:rPr>
        <w:t xml:space="preserve">The </w:t>
      </w:r>
      <w:r w:rsidR="00C47DDE">
        <w:rPr>
          <w:rFonts w:ascii="Arial" w:hAnsi="Arial" w:cs="Arial"/>
          <w:sz w:val="18"/>
          <w:szCs w:val="18"/>
        </w:rPr>
        <w:t xml:space="preserve">monthly </w:t>
      </w:r>
      <w:r w:rsidR="00EC01D2">
        <w:rPr>
          <w:rFonts w:ascii="Arial" w:hAnsi="Arial" w:cs="Arial"/>
          <w:sz w:val="18"/>
          <w:szCs w:val="18"/>
        </w:rPr>
        <w:t xml:space="preserve">PA </w:t>
      </w:r>
      <w:r>
        <w:rPr>
          <w:rFonts w:ascii="Arial" w:hAnsi="Arial" w:cs="Arial"/>
          <w:sz w:val="18"/>
          <w:szCs w:val="18"/>
        </w:rPr>
        <w:t xml:space="preserve">process </w:t>
      </w:r>
      <w:r w:rsidR="00CB6DD1">
        <w:rPr>
          <w:rFonts w:ascii="Arial" w:hAnsi="Arial" w:cs="Arial"/>
          <w:sz w:val="18"/>
          <w:szCs w:val="18"/>
        </w:rPr>
        <w:t>established several</w:t>
      </w:r>
      <w:r w:rsidR="001B7C7C">
        <w:rPr>
          <w:rFonts w:ascii="Arial" w:hAnsi="Arial" w:cs="Arial"/>
          <w:sz w:val="18"/>
          <w:szCs w:val="18"/>
        </w:rPr>
        <w:t xml:space="preserve"> years </w:t>
      </w:r>
      <w:r w:rsidR="00EC01D2">
        <w:rPr>
          <w:rFonts w:ascii="Arial" w:hAnsi="Arial" w:cs="Arial"/>
          <w:sz w:val="18"/>
          <w:szCs w:val="18"/>
        </w:rPr>
        <w:t xml:space="preserve">ago </w:t>
      </w:r>
      <w:r>
        <w:rPr>
          <w:rFonts w:ascii="Arial" w:hAnsi="Arial" w:cs="Arial"/>
          <w:sz w:val="18"/>
          <w:szCs w:val="18"/>
        </w:rPr>
        <w:t xml:space="preserve">for requesting a PA for </w:t>
      </w:r>
      <w:r w:rsidR="00BC7698" w:rsidRPr="00251F75">
        <w:rPr>
          <w:rFonts w:ascii="Arial" w:hAnsi="Arial" w:cs="Arial"/>
          <w:b/>
          <w:sz w:val="18"/>
          <w:szCs w:val="18"/>
        </w:rPr>
        <w:t>Synagis</w:t>
      </w:r>
      <w:r w:rsidR="00BC7698">
        <w:rPr>
          <w:rFonts w:ascii="Arial" w:hAnsi="Arial" w:cs="Arial"/>
          <w:b/>
          <w:sz w:val="18"/>
          <w:szCs w:val="18"/>
        </w:rPr>
        <w:t>®</w:t>
      </w:r>
      <w:r>
        <w:rPr>
          <w:rFonts w:ascii="Arial" w:hAnsi="Arial" w:cs="Arial"/>
          <w:sz w:val="18"/>
          <w:szCs w:val="18"/>
        </w:rPr>
        <w:t xml:space="preserve"> (palivizumab) has not changed.  </w:t>
      </w:r>
      <w:r w:rsidR="001B7C7C" w:rsidRPr="001B7C7C">
        <w:rPr>
          <w:rFonts w:ascii="Arial" w:hAnsi="Arial" w:cs="Arial"/>
          <w:sz w:val="18"/>
          <w:szCs w:val="18"/>
        </w:rPr>
        <w:t xml:space="preserve">The </w:t>
      </w:r>
      <w:r w:rsidR="001B7C7C">
        <w:rPr>
          <w:rFonts w:ascii="Arial" w:hAnsi="Arial" w:cs="Arial"/>
          <w:sz w:val="18"/>
          <w:szCs w:val="18"/>
        </w:rPr>
        <w:t xml:space="preserve">revised </w:t>
      </w:r>
      <w:r w:rsidR="00BC7698" w:rsidRPr="00251F75">
        <w:rPr>
          <w:rFonts w:ascii="Arial" w:hAnsi="Arial" w:cs="Arial"/>
          <w:b/>
          <w:sz w:val="18"/>
          <w:szCs w:val="18"/>
        </w:rPr>
        <w:t>Synagis</w:t>
      </w:r>
      <w:r w:rsidR="00BC7698">
        <w:rPr>
          <w:rFonts w:ascii="Arial" w:hAnsi="Arial" w:cs="Arial"/>
          <w:b/>
          <w:sz w:val="18"/>
          <w:szCs w:val="18"/>
        </w:rPr>
        <w:t>®</w:t>
      </w:r>
      <w:r w:rsidR="001B7C7C">
        <w:rPr>
          <w:rFonts w:ascii="Arial" w:hAnsi="Arial" w:cs="Arial"/>
          <w:sz w:val="18"/>
          <w:szCs w:val="18"/>
        </w:rPr>
        <w:t xml:space="preserve"> (palivizumab) </w:t>
      </w:r>
      <w:r w:rsidR="001B7C7C" w:rsidRPr="001B7C7C">
        <w:rPr>
          <w:rFonts w:ascii="Arial" w:hAnsi="Arial" w:cs="Arial"/>
          <w:sz w:val="18"/>
          <w:szCs w:val="18"/>
        </w:rPr>
        <w:t xml:space="preserve">prior approval (PA) form </w:t>
      </w:r>
      <w:r w:rsidR="001B7C7C">
        <w:rPr>
          <w:rFonts w:ascii="Arial" w:hAnsi="Arial" w:cs="Arial"/>
          <w:sz w:val="18"/>
          <w:szCs w:val="18"/>
        </w:rPr>
        <w:t>for the 2014</w:t>
      </w:r>
      <w:r w:rsidR="008B5595">
        <w:rPr>
          <w:rFonts w:ascii="Arial" w:hAnsi="Arial" w:cs="Arial"/>
          <w:sz w:val="18"/>
          <w:szCs w:val="18"/>
        </w:rPr>
        <w:t xml:space="preserve"> </w:t>
      </w:r>
      <w:r w:rsidR="001B7C7C">
        <w:rPr>
          <w:rFonts w:ascii="Arial" w:hAnsi="Arial" w:cs="Arial"/>
          <w:sz w:val="18"/>
          <w:szCs w:val="18"/>
        </w:rPr>
        <w:t>-</w:t>
      </w:r>
      <w:r w:rsidR="008B5595">
        <w:rPr>
          <w:rFonts w:ascii="Arial" w:hAnsi="Arial" w:cs="Arial"/>
          <w:sz w:val="18"/>
          <w:szCs w:val="18"/>
        </w:rPr>
        <w:t xml:space="preserve"> </w:t>
      </w:r>
      <w:r w:rsidR="001B7C7C">
        <w:rPr>
          <w:rFonts w:ascii="Arial" w:hAnsi="Arial" w:cs="Arial"/>
          <w:sz w:val="18"/>
          <w:szCs w:val="18"/>
        </w:rPr>
        <w:t xml:space="preserve">2015 RSV season </w:t>
      </w:r>
      <w:r w:rsidR="001B7C7C" w:rsidRPr="001B7C7C">
        <w:rPr>
          <w:rFonts w:ascii="Arial" w:hAnsi="Arial" w:cs="Arial"/>
          <w:sz w:val="18"/>
          <w:szCs w:val="18"/>
        </w:rPr>
        <w:t xml:space="preserve">reflecting the </w:t>
      </w:r>
      <w:r w:rsidR="001B7C7C">
        <w:rPr>
          <w:rFonts w:ascii="Arial" w:hAnsi="Arial" w:cs="Arial"/>
          <w:sz w:val="18"/>
          <w:szCs w:val="18"/>
        </w:rPr>
        <w:t xml:space="preserve">above </w:t>
      </w:r>
      <w:r w:rsidR="001B7C7C" w:rsidRPr="001B7C7C">
        <w:rPr>
          <w:rFonts w:ascii="Arial" w:hAnsi="Arial" w:cs="Arial"/>
          <w:sz w:val="18"/>
          <w:szCs w:val="18"/>
        </w:rPr>
        <w:t xml:space="preserve">changes will be posted on the Arkansas Medicaid website </w:t>
      </w:r>
      <w:r w:rsidR="001B7C7C">
        <w:rPr>
          <w:rFonts w:ascii="Arial" w:hAnsi="Arial" w:cs="Arial"/>
          <w:sz w:val="18"/>
          <w:szCs w:val="18"/>
        </w:rPr>
        <w:t xml:space="preserve">on </w:t>
      </w:r>
      <w:r w:rsidR="001B7C7C" w:rsidRPr="001B7C7C">
        <w:rPr>
          <w:rFonts w:ascii="Arial" w:hAnsi="Arial" w:cs="Arial"/>
          <w:sz w:val="18"/>
          <w:szCs w:val="18"/>
        </w:rPr>
        <w:t>October 1, 20</w:t>
      </w:r>
      <w:r w:rsidR="001B7C7C">
        <w:rPr>
          <w:rFonts w:ascii="Arial" w:hAnsi="Arial" w:cs="Arial"/>
          <w:sz w:val="18"/>
          <w:szCs w:val="18"/>
        </w:rPr>
        <w:t>14</w:t>
      </w:r>
      <w:r w:rsidR="002A48F0">
        <w:rPr>
          <w:rFonts w:ascii="Arial" w:hAnsi="Arial" w:cs="Arial"/>
          <w:sz w:val="18"/>
          <w:szCs w:val="18"/>
        </w:rPr>
        <w:t>, and will be implemented beginning November 1, 2014</w:t>
      </w:r>
      <w:r w:rsidR="001B7C7C" w:rsidRPr="001B7C7C">
        <w:rPr>
          <w:rFonts w:ascii="Arial" w:hAnsi="Arial" w:cs="Arial"/>
          <w:sz w:val="18"/>
          <w:szCs w:val="18"/>
        </w:rPr>
        <w:t xml:space="preserve">. </w:t>
      </w:r>
    </w:p>
    <w:p w:rsidR="00BB1C67" w:rsidRDefault="00BB1C67" w:rsidP="00251F75">
      <w:pPr>
        <w:pStyle w:val="ListParagraph"/>
        <w:ind w:left="1440"/>
        <w:rPr>
          <w:rFonts w:ascii="Arial" w:hAnsi="Arial" w:cs="Arial"/>
          <w:sz w:val="18"/>
          <w:szCs w:val="18"/>
        </w:rPr>
      </w:pPr>
    </w:p>
    <w:p w:rsidR="00251F75" w:rsidRDefault="001D121D" w:rsidP="001D121D">
      <w:pPr>
        <w:pStyle w:val="ListParagraph"/>
        <w:numPr>
          <w:ilvl w:val="1"/>
          <w:numId w:val="6"/>
        </w:numPr>
        <w:rPr>
          <w:rFonts w:ascii="Arial" w:hAnsi="Arial" w:cs="Arial"/>
          <w:sz w:val="18"/>
          <w:szCs w:val="18"/>
        </w:rPr>
      </w:pPr>
      <w:r w:rsidRPr="001D121D">
        <w:rPr>
          <w:rFonts w:ascii="Arial" w:hAnsi="Arial" w:cs="Arial"/>
          <w:b/>
          <w:sz w:val="18"/>
          <w:szCs w:val="18"/>
        </w:rPr>
        <w:t>Xolair</w:t>
      </w:r>
      <w:r w:rsidR="00B4387A">
        <w:rPr>
          <w:rFonts w:ascii="Arial" w:hAnsi="Arial" w:cs="Arial"/>
          <w:b/>
          <w:sz w:val="18"/>
          <w:szCs w:val="18"/>
        </w:rPr>
        <w:t>®</w:t>
      </w:r>
      <w:r w:rsidRPr="001D121D">
        <w:rPr>
          <w:rFonts w:ascii="Arial" w:hAnsi="Arial" w:cs="Arial"/>
          <w:b/>
          <w:sz w:val="18"/>
          <w:szCs w:val="18"/>
        </w:rPr>
        <w:t xml:space="preserve"> (omalizumab) injection 150 mg vial:</w:t>
      </w:r>
      <w:r w:rsidRPr="001D121D">
        <w:rPr>
          <w:rFonts w:ascii="Arial" w:hAnsi="Arial" w:cs="Arial"/>
          <w:sz w:val="18"/>
          <w:szCs w:val="18"/>
        </w:rPr>
        <w:t xml:space="preserve">  </w:t>
      </w:r>
    </w:p>
    <w:p w:rsidR="001D121D" w:rsidRDefault="00BC7698" w:rsidP="00251F75">
      <w:pPr>
        <w:pStyle w:val="ListParagraph"/>
        <w:ind w:left="1440"/>
        <w:rPr>
          <w:rFonts w:ascii="Arial" w:hAnsi="Arial" w:cs="Arial"/>
          <w:sz w:val="18"/>
          <w:szCs w:val="18"/>
        </w:rPr>
      </w:pPr>
      <w:r w:rsidRPr="001D121D">
        <w:rPr>
          <w:rFonts w:ascii="Arial" w:hAnsi="Arial" w:cs="Arial"/>
          <w:b/>
          <w:sz w:val="18"/>
          <w:szCs w:val="18"/>
        </w:rPr>
        <w:t>Xolair</w:t>
      </w:r>
      <w:r>
        <w:rPr>
          <w:rFonts w:ascii="Arial" w:hAnsi="Arial" w:cs="Arial"/>
          <w:b/>
          <w:sz w:val="18"/>
          <w:szCs w:val="18"/>
        </w:rPr>
        <w:t>®</w:t>
      </w:r>
      <w:r w:rsidR="001D121D" w:rsidRPr="001D121D">
        <w:rPr>
          <w:rFonts w:ascii="Arial" w:hAnsi="Arial" w:cs="Arial"/>
          <w:sz w:val="18"/>
          <w:szCs w:val="18"/>
        </w:rPr>
        <w:t xml:space="preserve"> is an anti-IgE antibody </w:t>
      </w:r>
      <w:r w:rsidR="00C97C89">
        <w:rPr>
          <w:rFonts w:ascii="Arial" w:hAnsi="Arial" w:cs="Arial"/>
          <w:sz w:val="18"/>
          <w:szCs w:val="18"/>
        </w:rPr>
        <w:t>that</w:t>
      </w:r>
      <w:r w:rsidR="001D121D" w:rsidRPr="001D121D">
        <w:rPr>
          <w:rFonts w:ascii="Arial" w:hAnsi="Arial" w:cs="Arial"/>
          <w:sz w:val="18"/>
          <w:szCs w:val="18"/>
        </w:rPr>
        <w:t xml:space="preserve"> recently received FDA approval for the added indication of Chronic </w:t>
      </w:r>
      <w:r w:rsidR="007926CA">
        <w:rPr>
          <w:rFonts w:ascii="Arial" w:hAnsi="Arial" w:cs="Arial"/>
          <w:sz w:val="18"/>
          <w:szCs w:val="18"/>
        </w:rPr>
        <w:t>I</w:t>
      </w:r>
      <w:r w:rsidR="001D121D" w:rsidRPr="001D121D">
        <w:rPr>
          <w:rFonts w:ascii="Arial" w:hAnsi="Arial" w:cs="Arial"/>
          <w:sz w:val="18"/>
          <w:szCs w:val="18"/>
        </w:rPr>
        <w:t xml:space="preserve">diopathic </w:t>
      </w:r>
      <w:r w:rsidR="007926CA">
        <w:rPr>
          <w:rFonts w:ascii="Arial" w:hAnsi="Arial" w:cs="Arial"/>
          <w:sz w:val="18"/>
          <w:szCs w:val="18"/>
        </w:rPr>
        <w:t>U</w:t>
      </w:r>
      <w:r w:rsidR="001D121D" w:rsidRPr="001D121D">
        <w:rPr>
          <w:rFonts w:ascii="Arial" w:hAnsi="Arial" w:cs="Arial"/>
          <w:sz w:val="18"/>
          <w:szCs w:val="18"/>
        </w:rPr>
        <w:t>rticarial (CIU) in adults and adolescents (12 years of age and above) who remain symptomatic despite H1</w:t>
      </w:r>
      <w:r w:rsidR="009403A5">
        <w:rPr>
          <w:rFonts w:ascii="Arial" w:hAnsi="Arial" w:cs="Arial"/>
          <w:sz w:val="18"/>
          <w:szCs w:val="18"/>
        </w:rPr>
        <w:t>-</w:t>
      </w:r>
      <w:r w:rsidR="001D121D" w:rsidRPr="001D121D">
        <w:rPr>
          <w:rFonts w:ascii="Arial" w:hAnsi="Arial" w:cs="Arial"/>
          <w:sz w:val="18"/>
          <w:szCs w:val="18"/>
        </w:rPr>
        <w:t xml:space="preserve">antihistamine treatment.  </w:t>
      </w:r>
      <w:r w:rsidRPr="001D121D">
        <w:rPr>
          <w:rFonts w:ascii="Arial" w:hAnsi="Arial" w:cs="Arial"/>
          <w:b/>
          <w:sz w:val="18"/>
          <w:szCs w:val="18"/>
        </w:rPr>
        <w:t>Xolair</w:t>
      </w:r>
      <w:r>
        <w:rPr>
          <w:rFonts w:ascii="Arial" w:hAnsi="Arial" w:cs="Arial"/>
          <w:b/>
          <w:sz w:val="18"/>
          <w:szCs w:val="18"/>
        </w:rPr>
        <w:t>®</w:t>
      </w:r>
      <w:r w:rsidR="001D121D" w:rsidRPr="001D121D">
        <w:rPr>
          <w:rFonts w:ascii="Arial" w:hAnsi="Arial" w:cs="Arial"/>
          <w:sz w:val="18"/>
          <w:szCs w:val="18"/>
        </w:rPr>
        <w:t xml:space="preserve"> 150 or 300 mg</w:t>
      </w:r>
      <w:r w:rsidR="007926CA">
        <w:rPr>
          <w:rFonts w:ascii="Arial" w:hAnsi="Arial" w:cs="Arial"/>
          <w:sz w:val="18"/>
          <w:szCs w:val="18"/>
        </w:rPr>
        <w:t xml:space="preserve"> is administered</w:t>
      </w:r>
      <w:r w:rsidR="001D121D" w:rsidRPr="001D121D">
        <w:rPr>
          <w:rFonts w:ascii="Arial" w:hAnsi="Arial" w:cs="Arial"/>
          <w:sz w:val="18"/>
          <w:szCs w:val="18"/>
        </w:rPr>
        <w:t xml:space="preserve"> by subcutaneous injection every 4 weeks.  Dosing of </w:t>
      </w:r>
      <w:r w:rsidRPr="001D121D">
        <w:rPr>
          <w:rFonts w:ascii="Arial" w:hAnsi="Arial" w:cs="Arial"/>
          <w:b/>
          <w:sz w:val="18"/>
          <w:szCs w:val="18"/>
        </w:rPr>
        <w:t>Xolair</w:t>
      </w:r>
      <w:r>
        <w:rPr>
          <w:rFonts w:ascii="Arial" w:hAnsi="Arial" w:cs="Arial"/>
          <w:b/>
          <w:sz w:val="18"/>
          <w:szCs w:val="18"/>
        </w:rPr>
        <w:t>®</w:t>
      </w:r>
      <w:r w:rsidR="001D121D" w:rsidRPr="001D121D">
        <w:rPr>
          <w:rFonts w:ascii="Arial" w:hAnsi="Arial" w:cs="Arial"/>
          <w:sz w:val="18"/>
          <w:szCs w:val="18"/>
        </w:rPr>
        <w:t xml:space="preserve"> in CIU patients is not dependent on serum IgE (free or total) level or body weight.  The appropriate duration of therapy for CIU has not been evaluated. Periodically reassess the need for continued therapy.</w:t>
      </w:r>
    </w:p>
    <w:p w:rsidR="001D121D" w:rsidRPr="001D121D" w:rsidRDefault="001D121D" w:rsidP="001D121D">
      <w:pPr>
        <w:pStyle w:val="ListParagraph"/>
        <w:ind w:left="1440"/>
        <w:rPr>
          <w:rFonts w:ascii="Arial" w:hAnsi="Arial" w:cs="Arial"/>
          <w:sz w:val="18"/>
          <w:szCs w:val="18"/>
        </w:rPr>
      </w:pPr>
    </w:p>
    <w:p w:rsidR="001D121D" w:rsidRDefault="001D121D" w:rsidP="001D121D">
      <w:pPr>
        <w:pStyle w:val="ListParagraph"/>
        <w:ind w:left="1440"/>
        <w:rPr>
          <w:rFonts w:ascii="Arial" w:hAnsi="Arial" w:cs="Arial"/>
          <w:sz w:val="18"/>
          <w:szCs w:val="18"/>
        </w:rPr>
      </w:pPr>
      <w:r w:rsidRPr="001D121D">
        <w:rPr>
          <w:rFonts w:ascii="Arial" w:hAnsi="Arial" w:cs="Arial"/>
          <w:sz w:val="18"/>
          <w:szCs w:val="18"/>
        </w:rPr>
        <w:t xml:space="preserve">The reimbursement rate for </w:t>
      </w:r>
      <w:r w:rsidR="00BC7698" w:rsidRPr="001D121D">
        <w:rPr>
          <w:rFonts w:ascii="Arial" w:hAnsi="Arial" w:cs="Arial"/>
          <w:b/>
          <w:sz w:val="18"/>
          <w:szCs w:val="18"/>
        </w:rPr>
        <w:t>Xolair</w:t>
      </w:r>
      <w:r w:rsidR="00BC7698">
        <w:rPr>
          <w:rFonts w:ascii="Arial" w:hAnsi="Arial" w:cs="Arial"/>
          <w:b/>
          <w:sz w:val="18"/>
          <w:szCs w:val="18"/>
        </w:rPr>
        <w:t>®</w:t>
      </w:r>
      <w:r w:rsidRPr="001D121D">
        <w:rPr>
          <w:rFonts w:ascii="Arial" w:hAnsi="Arial" w:cs="Arial"/>
          <w:sz w:val="18"/>
          <w:szCs w:val="18"/>
        </w:rPr>
        <w:t xml:space="preserve"> is </w:t>
      </w:r>
      <w:r>
        <w:rPr>
          <w:rFonts w:ascii="Arial" w:hAnsi="Arial" w:cs="Arial"/>
          <w:sz w:val="18"/>
          <w:szCs w:val="18"/>
        </w:rPr>
        <w:t xml:space="preserve">$833.95 per </w:t>
      </w:r>
      <w:r w:rsidR="00850780">
        <w:rPr>
          <w:rFonts w:ascii="Arial" w:hAnsi="Arial" w:cs="Arial"/>
          <w:sz w:val="18"/>
          <w:szCs w:val="18"/>
        </w:rPr>
        <w:t xml:space="preserve">150 mg </w:t>
      </w:r>
      <w:r>
        <w:rPr>
          <w:rFonts w:ascii="Arial" w:hAnsi="Arial" w:cs="Arial"/>
          <w:sz w:val="18"/>
          <w:szCs w:val="18"/>
        </w:rPr>
        <w:t xml:space="preserve">vial.  </w:t>
      </w:r>
    </w:p>
    <w:p w:rsidR="001D121D" w:rsidRDefault="001D121D" w:rsidP="001D121D">
      <w:pPr>
        <w:pStyle w:val="ListParagraph"/>
        <w:ind w:left="1440"/>
        <w:rPr>
          <w:rFonts w:ascii="Arial" w:hAnsi="Arial" w:cs="Arial"/>
          <w:sz w:val="18"/>
          <w:szCs w:val="18"/>
        </w:rPr>
      </w:pPr>
    </w:p>
    <w:p w:rsidR="000A1DEB" w:rsidRDefault="001D121D" w:rsidP="001D121D">
      <w:pPr>
        <w:pStyle w:val="ListParagraph"/>
        <w:ind w:left="1440"/>
        <w:rPr>
          <w:rFonts w:ascii="Arial" w:hAnsi="Arial" w:cs="Arial"/>
          <w:sz w:val="18"/>
          <w:szCs w:val="18"/>
        </w:rPr>
      </w:pPr>
      <w:r w:rsidRPr="00464DAF">
        <w:rPr>
          <w:rFonts w:ascii="Arial" w:hAnsi="Arial" w:cs="Arial"/>
          <w:sz w:val="18"/>
          <w:szCs w:val="18"/>
        </w:rPr>
        <w:t>Manual Review PA will be required for all requests</w:t>
      </w:r>
      <w:r>
        <w:rPr>
          <w:rFonts w:ascii="Arial" w:hAnsi="Arial" w:cs="Arial"/>
          <w:sz w:val="18"/>
          <w:szCs w:val="18"/>
        </w:rPr>
        <w:t xml:space="preserve"> for </w:t>
      </w:r>
      <w:r w:rsidR="00BC7698" w:rsidRPr="001D121D">
        <w:rPr>
          <w:rFonts w:ascii="Arial" w:hAnsi="Arial" w:cs="Arial"/>
          <w:b/>
          <w:sz w:val="18"/>
          <w:szCs w:val="18"/>
        </w:rPr>
        <w:t>Xolair</w:t>
      </w:r>
      <w:r w:rsidR="00BC7698">
        <w:rPr>
          <w:rFonts w:ascii="Arial" w:hAnsi="Arial" w:cs="Arial"/>
          <w:b/>
          <w:sz w:val="18"/>
          <w:szCs w:val="18"/>
        </w:rPr>
        <w:t>®</w:t>
      </w:r>
      <w:r>
        <w:rPr>
          <w:rFonts w:ascii="Arial" w:hAnsi="Arial" w:cs="Arial"/>
          <w:sz w:val="18"/>
          <w:szCs w:val="18"/>
        </w:rPr>
        <w:t xml:space="preserve"> injection</w:t>
      </w:r>
      <w:r w:rsidRPr="001D121D">
        <w:rPr>
          <w:rFonts w:ascii="Arial" w:hAnsi="Arial" w:cs="Arial"/>
          <w:sz w:val="18"/>
          <w:szCs w:val="18"/>
        </w:rPr>
        <w:t xml:space="preserve"> </w:t>
      </w:r>
      <w:r w:rsidRPr="00464DAF">
        <w:rPr>
          <w:rFonts w:ascii="Arial" w:hAnsi="Arial" w:cs="Arial"/>
          <w:sz w:val="18"/>
          <w:szCs w:val="18"/>
        </w:rPr>
        <w:t>and will be reviewed on a case-by-case basis</w:t>
      </w:r>
      <w:r>
        <w:rPr>
          <w:rFonts w:ascii="Arial" w:hAnsi="Arial" w:cs="Arial"/>
          <w:sz w:val="18"/>
          <w:szCs w:val="18"/>
        </w:rPr>
        <w:t>.  The manual review PA criteria for CIU</w:t>
      </w:r>
      <w:r w:rsidR="007926CA">
        <w:rPr>
          <w:rFonts w:ascii="Arial" w:hAnsi="Arial" w:cs="Arial"/>
          <w:sz w:val="18"/>
          <w:szCs w:val="18"/>
        </w:rPr>
        <w:t xml:space="preserve"> for </w:t>
      </w:r>
      <w:r w:rsidR="002A48F0">
        <w:rPr>
          <w:rFonts w:ascii="Arial" w:hAnsi="Arial" w:cs="Arial"/>
          <w:sz w:val="18"/>
          <w:szCs w:val="18"/>
        </w:rPr>
        <w:t>beneficiaries</w:t>
      </w:r>
      <w:r w:rsidR="007926CA">
        <w:rPr>
          <w:rFonts w:ascii="Arial" w:hAnsi="Arial" w:cs="Arial"/>
          <w:sz w:val="18"/>
          <w:szCs w:val="18"/>
        </w:rPr>
        <w:t xml:space="preserve"> age 12 years and older</w:t>
      </w:r>
      <w:r>
        <w:rPr>
          <w:rFonts w:ascii="Arial" w:hAnsi="Arial" w:cs="Arial"/>
          <w:sz w:val="18"/>
          <w:szCs w:val="18"/>
        </w:rPr>
        <w:t xml:space="preserve"> will be based </w:t>
      </w:r>
      <w:r w:rsidR="007926CA">
        <w:rPr>
          <w:rFonts w:ascii="Arial" w:hAnsi="Arial" w:cs="Arial"/>
          <w:sz w:val="18"/>
          <w:szCs w:val="18"/>
        </w:rPr>
        <w:t>on documentation of CIU diagnosis AND</w:t>
      </w:r>
    </w:p>
    <w:p w:rsidR="007926CA" w:rsidRDefault="000A1DEB" w:rsidP="000A1DEB">
      <w:pPr>
        <w:pStyle w:val="ListParagraph"/>
        <w:numPr>
          <w:ilvl w:val="0"/>
          <w:numId w:val="30"/>
        </w:numPr>
        <w:rPr>
          <w:rFonts w:ascii="Arial" w:hAnsi="Arial" w:cs="Arial"/>
          <w:sz w:val="18"/>
          <w:szCs w:val="18"/>
        </w:rPr>
      </w:pPr>
      <w:r>
        <w:rPr>
          <w:rFonts w:ascii="Arial" w:hAnsi="Arial" w:cs="Arial"/>
          <w:sz w:val="18"/>
          <w:szCs w:val="18"/>
        </w:rPr>
        <w:t>the baseline Ut</w:t>
      </w:r>
      <w:r w:rsidR="00850780">
        <w:rPr>
          <w:rFonts w:ascii="Arial" w:hAnsi="Arial" w:cs="Arial"/>
          <w:sz w:val="18"/>
          <w:szCs w:val="18"/>
        </w:rPr>
        <w:t xml:space="preserve">icaria Activity Score-7 (UAS7) </w:t>
      </w:r>
      <w:r>
        <w:rPr>
          <w:rFonts w:ascii="Arial" w:hAnsi="Arial" w:cs="Arial"/>
          <w:sz w:val="18"/>
          <w:szCs w:val="18"/>
        </w:rPr>
        <w:t>must be greater than 16, AND</w:t>
      </w:r>
    </w:p>
    <w:p w:rsidR="007926CA" w:rsidRDefault="007926CA" w:rsidP="007926CA">
      <w:pPr>
        <w:pStyle w:val="ListParagraph"/>
        <w:numPr>
          <w:ilvl w:val="0"/>
          <w:numId w:val="30"/>
        </w:numPr>
        <w:rPr>
          <w:rFonts w:ascii="Arial" w:hAnsi="Arial" w:cs="Arial"/>
          <w:sz w:val="18"/>
          <w:szCs w:val="18"/>
        </w:rPr>
      </w:pPr>
      <w:r>
        <w:rPr>
          <w:rFonts w:ascii="Arial" w:hAnsi="Arial" w:cs="Arial"/>
          <w:sz w:val="18"/>
          <w:szCs w:val="18"/>
        </w:rPr>
        <w:t xml:space="preserve">The IgE level must be above the normal range </w:t>
      </w:r>
      <w:r w:rsidR="000A1DEB">
        <w:rPr>
          <w:rFonts w:ascii="Arial" w:hAnsi="Arial" w:cs="Arial"/>
          <w:sz w:val="18"/>
          <w:szCs w:val="18"/>
        </w:rPr>
        <w:t>for the testing lab, AND</w:t>
      </w:r>
      <w:r>
        <w:rPr>
          <w:rFonts w:ascii="Arial" w:hAnsi="Arial" w:cs="Arial"/>
          <w:sz w:val="18"/>
          <w:szCs w:val="18"/>
        </w:rPr>
        <w:t xml:space="preserve"> </w:t>
      </w:r>
    </w:p>
    <w:p w:rsidR="001D121D" w:rsidRDefault="00850780" w:rsidP="007926CA">
      <w:pPr>
        <w:pStyle w:val="ListParagraph"/>
        <w:numPr>
          <w:ilvl w:val="0"/>
          <w:numId w:val="30"/>
        </w:numPr>
        <w:rPr>
          <w:rFonts w:ascii="Arial" w:hAnsi="Arial" w:cs="Arial"/>
          <w:sz w:val="18"/>
          <w:szCs w:val="18"/>
        </w:rPr>
      </w:pPr>
      <w:r>
        <w:rPr>
          <w:rFonts w:ascii="Arial" w:hAnsi="Arial" w:cs="Arial"/>
          <w:sz w:val="18"/>
          <w:szCs w:val="18"/>
        </w:rPr>
        <w:t xml:space="preserve">Must try </w:t>
      </w:r>
      <w:r w:rsidR="007926CA">
        <w:rPr>
          <w:rFonts w:ascii="Arial" w:hAnsi="Arial" w:cs="Arial"/>
          <w:sz w:val="18"/>
          <w:szCs w:val="18"/>
        </w:rPr>
        <w:t>a non-sedating H1-antihistamine (nsAH) for a minimum of 2 weeks, AND</w:t>
      </w:r>
    </w:p>
    <w:p w:rsidR="007926CA" w:rsidRDefault="00850780" w:rsidP="007926CA">
      <w:pPr>
        <w:pStyle w:val="ListParagraph"/>
        <w:numPr>
          <w:ilvl w:val="0"/>
          <w:numId w:val="30"/>
        </w:numPr>
        <w:rPr>
          <w:rFonts w:ascii="Arial" w:hAnsi="Arial" w:cs="Arial"/>
          <w:sz w:val="18"/>
          <w:szCs w:val="18"/>
        </w:rPr>
      </w:pPr>
      <w:r>
        <w:rPr>
          <w:rFonts w:ascii="Arial" w:hAnsi="Arial" w:cs="Arial"/>
          <w:sz w:val="18"/>
          <w:szCs w:val="18"/>
        </w:rPr>
        <w:t xml:space="preserve">Must try </w:t>
      </w:r>
      <w:r w:rsidR="007926CA">
        <w:rPr>
          <w:rFonts w:ascii="Arial" w:hAnsi="Arial" w:cs="Arial"/>
          <w:sz w:val="18"/>
          <w:szCs w:val="18"/>
        </w:rPr>
        <w:t xml:space="preserve">nsAH at 4 </w:t>
      </w:r>
      <w:r w:rsidR="006044F1">
        <w:rPr>
          <w:rFonts w:ascii="Arial" w:hAnsi="Arial" w:cs="Arial"/>
          <w:sz w:val="18"/>
          <w:szCs w:val="18"/>
        </w:rPr>
        <w:t>times</w:t>
      </w:r>
      <w:r w:rsidR="007926CA">
        <w:rPr>
          <w:rFonts w:ascii="Arial" w:hAnsi="Arial" w:cs="Arial"/>
          <w:sz w:val="18"/>
          <w:szCs w:val="18"/>
        </w:rPr>
        <w:t xml:space="preserve"> the  normal daily dose for a minimum of 4 weeks, AND</w:t>
      </w:r>
    </w:p>
    <w:p w:rsidR="007926CA" w:rsidRDefault="00850780" w:rsidP="007926CA">
      <w:pPr>
        <w:pStyle w:val="ListParagraph"/>
        <w:numPr>
          <w:ilvl w:val="0"/>
          <w:numId w:val="30"/>
        </w:numPr>
        <w:rPr>
          <w:rFonts w:ascii="Arial" w:hAnsi="Arial" w:cs="Arial"/>
          <w:sz w:val="18"/>
          <w:szCs w:val="18"/>
        </w:rPr>
      </w:pPr>
      <w:r>
        <w:rPr>
          <w:rFonts w:ascii="Arial" w:hAnsi="Arial" w:cs="Arial"/>
          <w:sz w:val="18"/>
          <w:szCs w:val="18"/>
        </w:rPr>
        <w:t>Must try</w:t>
      </w:r>
      <w:r w:rsidR="000A1DEB">
        <w:rPr>
          <w:rFonts w:ascii="Arial" w:hAnsi="Arial" w:cs="Arial"/>
          <w:sz w:val="18"/>
          <w:szCs w:val="18"/>
        </w:rPr>
        <w:t xml:space="preserve"> an alternative</w:t>
      </w:r>
      <w:r w:rsidR="007926CA">
        <w:rPr>
          <w:rFonts w:ascii="Arial" w:hAnsi="Arial" w:cs="Arial"/>
          <w:sz w:val="18"/>
          <w:szCs w:val="18"/>
        </w:rPr>
        <w:t xml:space="preserve"> nsAH at 4 times the normal daily dose </w:t>
      </w:r>
      <w:r w:rsidR="000A1DEB">
        <w:rPr>
          <w:rFonts w:ascii="Arial" w:hAnsi="Arial" w:cs="Arial"/>
          <w:sz w:val="18"/>
          <w:szCs w:val="18"/>
        </w:rPr>
        <w:t>for</w:t>
      </w:r>
      <w:r w:rsidR="007926CA">
        <w:rPr>
          <w:rFonts w:ascii="Arial" w:hAnsi="Arial" w:cs="Arial"/>
          <w:sz w:val="18"/>
          <w:szCs w:val="18"/>
        </w:rPr>
        <w:t xml:space="preserve"> a minimum of 4 weeks, AND</w:t>
      </w:r>
    </w:p>
    <w:p w:rsidR="007926CA" w:rsidRDefault="00850780" w:rsidP="007926CA">
      <w:pPr>
        <w:pStyle w:val="ListParagraph"/>
        <w:numPr>
          <w:ilvl w:val="0"/>
          <w:numId w:val="30"/>
        </w:numPr>
        <w:rPr>
          <w:rFonts w:ascii="Arial" w:hAnsi="Arial" w:cs="Arial"/>
          <w:sz w:val="18"/>
          <w:szCs w:val="18"/>
        </w:rPr>
      </w:pPr>
      <w:r>
        <w:rPr>
          <w:rFonts w:ascii="Arial" w:hAnsi="Arial" w:cs="Arial"/>
          <w:sz w:val="18"/>
          <w:szCs w:val="18"/>
        </w:rPr>
        <w:t xml:space="preserve">Must add </w:t>
      </w:r>
      <w:r w:rsidR="007926CA">
        <w:rPr>
          <w:rFonts w:ascii="Arial" w:hAnsi="Arial" w:cs="Arial"/>
          <w:sz w:val="18"/>
          <w:szCs w:val="18"/>
        </w:rPr>
        <w:t>a Leukotriene receptor antagonist to the nsAH for a minimum of 4 weeks, AND</w:t>
      </w:r>
    </w:p>
    <w:p w:rsidR="007926CA" w:rsidRDefault="00850780" w:rsidP="007926CA">
      <w:pPr>
        <w:pStyle w:val="ListParagraph"/>
        <w:numPr>
          <w:ilvl w:val="0"/>
          <w:numId w:val="30"/>
        </w:numPr>
        <w:rPr>
          <w:rFonts w:ascii="Arial" w:hAnsi="Arial" w:cs="Arial"/>
          <w:sz w:val="18"/>
          <w:szCs w:val="18"/>
        </w:rPr>
      </w:pPr>
      <w:r>
        <w:rPr>
          <w:rFonts w:ascii="Arial" w:hAnsi="Arial" w:cs="Arial"/>
          <w:sz w:val="18"/>
          <w:szCs w:val="18"/>
        </w:rPr>
        <w:t xml:space="preserve">Must add </w:t>
      </w:r>
      <w:r w:rsidR="007926CA">
        <w:rPr>
          <w:rFonts w:ascii="Arial" w:hAnsi="Arial" w:cs="Arial"/>
          <w:sz w:val="18"/>
          <w:szCs w:val="18"/>
        </w:rPr>
        <w:t xml:space="preserve">cyclosporine to the above treatment dosed at 4 mg/kg (based on ideal body weight) for </w:t>
      </w:r>
      <w:r w:rsidR="000A1DEB">
        <w:rPr>
          <w:rFonts w:ascii="Arial" w:hAnsi="Arial" w:cs="Arial"/>
          <w:sz w:val="18"/>
          <w:szCs w:val="18"/>
        </w:rPr>
        <w:t xml:space="preserve">a minimum of 8 weeks. </w:t>
      </w:r>
    </w:p>
    <w:p w:rsidR="00B4387A" w:rsidRDefault="00B4387A" w:rsidP="00B4387A">
      <w:pPr>
        <w:rPr>
          <w:rFonts w:ascii="Arial" w:hAnsi="Arial" w:cs="Arial"/>
          <w:sz w:val="18"/>
          <w:szCs w:val="18"/>
        </w:rPr>
      </w:pPr>
    </w:p>
    <w:p w:rsidR="00B4387A" w:rsidRDefault="00B4387A" w:rsidP="00B4387A">
      <w:pPr>
        <w:pStyle w:val="ListParagraph"/>
        <w:tabs>
          <w:tab w:val="left" w:pos="1095"/>
        </w:tabs>
        <w:ind w:left="1080"/>
        <w:rPr>
          <w:rFonts w:ascii="Arial" w:hAnsi="Arial" w:cs="Arial"/>
          <w:b/>
          <w:sz w:val="18"/>
          <w:szCs w:val="18"/>
        </w:rPr>
      </w:pP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Pr="00464DAF">
        <w:rPr>
          <w:rFonts w:ascii="Arial" w:hAnsi="Arial" w:cs="Arial"/>
          <w:b/>
          <w:sz w:val="18"/>
          <w:szCs w:val="18"/>
        </w:rPr>
        <w:t xml:space="preserve">.  </w:t>
      </w:r>
    </w:p>
    <w:p w:rsidR="00850780" w:rsidRDefault="00850780" w:rsidP="00B4387A">
      <w:pPr>
        <w:pStyle w:val="ListParagraph"/>
        <w:tabs>
          <w:tab w:val="left" w:pos="1095"/>
        </w:tabs>
        <w:ind w:left="1080"/>
        <w:rPr>
          <w:rFonts w:ascii="Arial" w:hAnsi="Arial" w:cs="Arial"/>
          <w:b/>
          <w:sz w:val="18"/>
          <w:szCs w:val="18"/>
        </w:rPr>
      </w:pPr>
    </w:p>
    <w:p w:rsidR="00243E98" w:rsidRDefault="00243E98" w:rsidP="00243E98">
      <w:pPr>
        <w:pStyle w:val="ListParagraph"/>
        <w:numPr>
          <w:ilvl w:val="1"/>
          <w:numId w:val="6"/>
        </w:numPr>
        <w:rPr>
          <w:rFonts w:ascii="Arial" w:hAnsi="Arial" w:cs="Arial"/>
          <w:b/>
          <w:sz w:val="18"/>
          <w:szCs w:val="18"/>
          <w:u w:val="single"/>
        </w:rPr>
      </w:pPr>
      <w:r w:rsidRPr="00243E98">
        <w:rPr>
          <w:rFonts w:ascii="Arial" w:hAnsi="Arial" w:cs="Arial"/>
          <w:b/>
          <w:sz w:val="18"/>
          <w:szCs w:val="18"/>
          <w:u w:val="single"/>
        </w:rPr>
        <w:t xml:space="preserve">Denavir® </w:t>
      </w:r>
      <w:r>
        <w:rPr>
          <w:rFonts w:ascii="Arial" w:hAnsi="Arial" w:cs="Arial"/>
          <w:b/>
          <w:sz w:val="18"/>
          <w:szCs w:val="18"/>
          <w:u w:val="single"/>
        </w:rPr>
        <w:t>(</w:t>
      </w:r>
      <w:r w:rsidRPr="00243E98">
        <w:rPr>
          <w:rFonts w:ascii="Arial" w:hAnsi="Arial" w:cs="Arial"/>
          <w:b/>
          <w:sz w:val="18"/>
          <w:szCs w:val="18"/>
          <w:u w:val="single"/>
        </w:rPr>
        <w:t>penciclovir</w:t>
      </w:r>
      <w:r>
        <w:rPr>
          <w:rFonts w:ascii="Arial" w:hAnsi="Arial" w:cs="Arial"/>
          <w:b/>
          <w:sz w:val="18"/>
          <w:szCs w:val="18"/>
          <w:u w:val="single"/>
        </w:rPr>
        <w:t xml:space="preserve">) </w:t>
      </w:r>
      <w:r w:rsidRPr="00243E98">
        <w:rPr>
          <w:rFonts w:ascii="Arial" w:hAnsi="Arial" w:cs="Arial"/>
          <w:b/>
          <w:sz w:val="18"/>
          <w:szCs w:val="18"/>
          <w:u w:val="single"/>
        </w:rPr>
        <w:t>1% 5 gm cream:</w:t>
      </w:r>
    </w:p>
    <w:p w:rsidR="00243E98" w:rsidRDefault="00BC7698" w:rsidP="00243E98">
      <w:pPr>
        <w:pStyle w:val="ListParagraph"/>
        <w:ind w:left="1440"/>
        <w:rPr>
          <w:rFonts w:ascii="Arial" w:hAnsi="Arial" w:cs="Arial"/>
          <w:sz w:val="18"/>
          <w:szCs w:val="18"/>
        </w:rPr>
      </w:pPr>
      <w:r w:rsidRPr="008B5595">
        <w:rPr>
          <w:rFonts w:ascii="Arial" w:hAnsi="Arial" w:cs="Arial"/>
          <w:b/>
          <w:sz w:val="18"/>
          <w:szCs w:val="18"/>
        </w:rPr>
        <w:t>Denavir®</w:t>
      </w:r>
      <w:r w:rsidR="00243E98" w:rsidRPr="00243E98">
        <w:rPr>
          <w:rFonts w:ascii="Arial" w:hAnsi="Arial" w:cs="Arial"/>
          <w:sz w:val="18"/>
          <w:szCs w:val="18"/>
        </w:rPr>
        <w:t xml:space="preserve"> cream is indicated for the treatment of recurrent herpes labialis (cold sores) in adults and children 12 years of age and older.</w:t>
      </w:r>
      <w:r w:rsidR="00243E98">
        <w:rPr>
          <w:rFonts w:ascii="Arial" w:hAnsi="Arial" w:cs="Arial"/>
          <w:sz w:val="18"/>
          <w:szCs w:val="18"/>
        </w:rPr>
        <w:t xml:space="preserve">   </w:t>
      </w:r>
      <w:r w:rsidRPr="008B5595">
        <w:rPr>
          <w:rFonts w:ascii="Arial" w:hAnsi="Arial" w:cs="Arial"/>
          <w:b/>
          <w:sz w:val="18"/>
          <w:szCs w:val="18"/>
        </w:rPr>
        <w:t>Denavir®</w:t>
      </w:r>
      <w:r w:rsidR="00243E98" w:rsidRPr="00243E98">
        <w:rPr>
          <w:rFonts w:ascii="Arial" w:hAnsi="Arial" w:cs="Arial"/>
          <w:sz w:val="18"/>
          <w:szCs w:val="18"/>
        </w:rPr>
        <w:t xml:space="preserve"> should be applied every 2 hours during waking </w:t>
      </w:r>
      <w:r w:rsidR="00243E98" w:rsidRPr="00243E98">
        <w:rPr>
          <w:rFonts w:ascii="Arial" w:hAnsi="Arial" w:cs="Arial"/>
          <w:sz w:val="18"/>
          <w:szCs w:val="18"/>
        </w:rPr>
        <w:lastRenderedPageBreak/>
        <w:t>hours for a period of 4 days. Treatment should be started as early as possible (i.e., during the prodrome or when lesions appear).</w:t>
      </w:r>
    </w:p>
    <w:p w:rsidR="00243E98" w:rsidRDefault="00243E98" w:rsidP="00243E98">
      <w:pPr>
        <w:pStyle w:val="ListParagraph"/>
        <w:ind w:left="1440"/>
        <w:rPr>
          <w:rFonts w:ascii="Arial" w:hAnsi="Arial" w:cs="Arial"/>
          <w:sz w:val="18"/>
          <w:szCs w:val="18"/>
        </w:rPr>
      </w:pPr>
    </w:p>
    <w:p w:rsidR="00243E98" w:rsidRDefault="00243E98" w:rsidP="00243E98">
      <w:pPr>
        <w:pStyle w:val="ListParagraph"/>
        <w:ind w:left="1440"/>
        <w:rPr>
          <w:rFonts w:ascii="Arial" w:hAnsi="Arial" w:cs="Arial"/>
          <w:sz w:val="18"/>
          <w:szCs w:val="18"/>
        </w:rPr>
      </w:pPr>
      <w:r>
        <w:rPr>
          <w:rFonts w:ascii="Arial" w:hAnsi="Arial" w:cs="Arial"/>
          <w:sz w:val="18"/>
          <w:szCs w:val="18"/>
        </w:rPr>
        <w:t xml:space="preserve">The reimbursement rate for </w:t>
      </w:r>
      <w:r w:rsidR="00BC7698" w:rsidRPr="008B5595">
        <w:rPr>
          <w:rFonts w:ascii="Arial" w:hAnsi="Arial" w:cs="Arial"/>
          <w:b/>
          <w:sz w:val="18"/>
          <w:szCs w:val="18"/>
        </w:rPr>
        <w:t>Denavir®</w:t>
      </w:r>
      <w:r>
        <w:rPr>
          <w:rFonts w:ascii="Arial" w:hAnsi="Arial" w:cs="Arial"/>
          <w:sz w:val="18"/>
          <w:szCs w:val="18"/>
        </w:rPr>
        <w:t xml:space="preserve"> cream is $101.58 per gram, or $507.90 per 5 gm tube.</w:t>
      </w:r>
      <w:r w:rsidR="008A5955">
        <w:rPr>
          <w:rFonts w:ascii="Arial" w:hAnsi="Arial" w:cs="Arial"/>
          <w:sz w:val="18"/>
          <w:szCs w:val="18"/>
        </w:rPr>
        <w:t xml:space="preserve"> The 1.5 gram tube seems to be unavailable in the marketplace</w:t>
      </w:r>
      <w:r w:rsidR="009403A5">
        <w:rPr>
          <w:rFonts w:ascii="Arial" w:hAnsi="Arial" w:cs="Arial"/>
          <w:sz w:val="18"/>
          <w:szCs w:val="18"/>
        </w:rPr>
        <w:t xml:space="preserve"> at this time.</w:t>
      </w:r>
    </w:p>
    <w:p w:rsidR="00243E98" w:rsidRDefault="00243E98" w:rsidP="00243E98">
      <w:pPr>
        <w:pStyle w:val="ListParagraph"/>
        <w:ind w:left="1440"/>
        <w:rPr>
          <w:rFonts w:ascii="Arial" w:hAnsi="Arial" w:cs="Arial"/>
          <w:sz w:val="18"/>
          <w:szCs w:val="18"/>
        </w:rPr>
      </w:pPr>
    </w:p>
    <w:p w:rsidR="00243E98" w:rsidRPr="000A1DEB" w:rsidRDefault="00243E98" w:rsidP="00243E98">
      <w:pPr>
        <w:pStyle w:val="ListParagraph"/>
        <w:ind w:left="1440"/>
        <w:rPr>
          <w:rFonts w:ascii="Arial" w:hAnsi="Arial" w:cs="Arial"/>
          <w:sz w:val="18"/>
          <w:szCs w:val="18"/>
        </w:rPr>
      </w:pPr>
      <w:r>
        <w:rPr>
          <w:rFonts w:ascii="Arial" w:hAnsi="Arial" w:cs="Arial"/>
          <w:sz w:val="18"/>
          <w:szCs w:val="18"/>
        </w:rPr>
        <w:t xml:space="preserve">The prior authorization </w:t>
      </w:r>
      <w:r w:rsidR="002B0CCF">
        <w:rPr>
          <w:rFonts w:ascii="Arial" w:hAnsi="Arial" w:cs="Arial"/>
          <w:sz w:val="18"/>
          <w:szCs w:val="18"/>
        </w:rPr>
        <w:t xml:space="preserve">for </w:t>
      </w:r>
      <w:r w:rsidR="00BC7698" w:rsidRPr="008B5595">
        <w:rPr>
          <w:rFonts w:ascii="Arial" w:hAnsi="Arial" w:cs="Arial"/>
          <w:b/>
          <w:sz w:val="18"/>
          <w:szCs w:val="18"/>
        </w:rPr>
        <w:t>Denavir®</w:t>
      </w:r>
      <w:r w:rsidR="002B0CCF">
        <w:rPr>
          <w:rFonts w:ascii="Arial" w:hAnsi="Arial" w:cs="Arial"/>
          <w:sz w:val="18"/>
          <w:szCs w:val="18"/>
        </w:rPr>
        <w:t xml:space="preserve"> 5 gm tube </w:t>
      </w:r>
      <w:r>
        <w:rPr>
          <w:rFonts w:ascii="Arial" w:hAnsi="Arial" w:cs="Arial"/>
          <w:sz w:val="18"/>
          <w:szCs w:val="18"/>
        </w:rPr>
        <w:t>has been changed from point-of-sale</w:t>
      </w:r>
      <w:r w:rsidR="002B0CCF">
        <w:rPr>
          <w:rFonts w:ascii="Arial" w:hAnsi="Arial" w:cs="Arial"/>
          <w:sz w:val="18"/>
          <w:szCs w:val="18"/>
        </w:rPr>
        <w:t xml:space="preserve"> approval criteria </w:t>
      </w:r>
      <w:r>
        <w:rPr>
          <w:rFonts w:ascii="Arial" w:hAnsi="Arial" w:cs="Arial"/>
          <w:sz w:val="18"/>
          <w:szCs w:val="18"/>
        </w:rPr>
        <w:t>to m</w:t>
      </w:r>
      <w:r w:rsidRPr="00464DAF">
        <w:rPr>
          <w:rFonts w:ascii="Arial" w:hAnsi="Arial" w:cs="Arial"/>
          <w:sz w:val="18"/>
          <w:szCs w:val="18"/>
        </w:rPr>
        <w:t>anual Review PA for all requests</w:t>
      </w:r>
      <w:r>
        <w:rPr>
          <w:rFonts w:ascii="Arial" w:hAnsi="Arial" w:cs="Arial"/>
          <w:sz w:val="18"/>
          <w:szCs w:val="18"/>
        </w:rPr>
        <w:t xml:space="preserve"> for </w:t>
      </w:r>
      <w:r w:rsidR="00BC7698" w:rsidRPr="008B5595">
        <w:rPr>
          <w:rFonts w:ascii="Arial" w:hAnsi="Arial" w:cs="Arial"/>
          <w:b/>
          <w:sz w:val="18"/>
          <w:szCs w:val="18"/>
        </w:rPr>
        <w:t>Denavir®</w:t>
      </w:r>
      <w:r>
        <w:rPr>
          <w:rFonts w:ascii="Arial" w:hAnsi="Arial" w:cs="Arial"/>
          <w:sz w:val="18"/>
          <w:szCs w:val="18"/>
        </w:rPr>
        <w:t xml:space="preserve"> cream </w:t>
      </w:r>
      <w:r w:rsidRPr="00464DAF">
        <w:rPr>
          <w:rFonts w:ascii="Arial" w:hAnsi="Arial" w:cs="Arial"/>
          <w:sz w:val="18"/>
          <w:szCs w:val="18"/>
        </w:rPr>
        <w:t>and will be reviewed on a case-by-case basis</w:t>
      </w:r>
      <w:r w:rsidRPr="00B4387A">
        <w:rPr>
          <w:rFonts w:ascii="Arial" w:hAnsi="Arial" w:cs="Arial"/>
          <w:sz w:val="18"/>
          <w:szCs w:val="18"/>
        </w:rPr>
        <w:t>.</w:t>
      </w:r>
    </w:p>
    <w:p w:rsidR="00243E98" w:rsidRDefault="00243E98" w:rsidP="00243E98">
      <w:pPr>
        <w:rPr>
          <w:rFonts w:ascii="Arial" w:hAnsi="Arial" w:cs="Arial"/>
          <w:b/>
          <w:sz w:val="18"/>
          <w:szCs w:val="18"/>
        </w:rPr>
      </w:pPr>
    </w:p>
    <w:p w:rsidR="00243E98" w:rsidRDefault="00243E98" w:rsidP="00243E98">
      <w:pPr>
        <w:pStyle w:val="ListParagraph"/>
        <w:tabs>
          <w:tab w:val="left" w:pos="1095"/>
        </w:tabs>
        <w:ind w:left="1080"/>
        <w:rPr>
          <w:rFonts w:ascii="Arial" w:hAnsi="Arial" w:cs="Arial"/>
          <w:b/>
          <w:sz w:val="18"/>
          <w:szCs w:val="18"/>
        </w:rPr>
      </w:pP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Pr="00464DAF">
        <w:rPr>
          <w:rFonts w:ascii="Arial" w:hAnsi="Arial" w:cs="Arial"/>
          <w:b/>
          <w:sz w:val="18"/>
          <w:szCs w:val="18"/>
        </w:rPr>
        <w:t xml:space="preserve">.  </w:t>
      </w:r>
    </w:p>
    <w:p w:rsidR="00243E98" w:rsidRDefault="00243E98" w:rsidP="00243E98">
      <w:pPr>
        <w:pStyle w:val="ListParagraph"/>
        <w:ind w:left="1440"/>
        <w:rPr>
          <w:rFonts w:ascii="Arial" w:hAnsi="Arial" w:cs="Arial"/>
          <w:sz w:val="18"/>
          <w:szCs w:val="18"/>
        </w:rPr>
      </w:pPr>
    </w:p>
    <w:p w:rsidR="00243E98" w:rsidRDefault="00243E98" w:rsidP="00B4387A">
      <w:pPr>
        <w:pStyle w:val="ListParagraph"/>
        <w:tabs>
          <w:tab w:val="left" w:pos="1095"/>
        </w:tabs>
        <w:ind w:left="1080"/>
        <w:rPr>
          <w:rFonts w:ascii="Arial" w:hAnsi="Arial" w:cs="Arial"/>
          <w:b/>
          <w:sz w:val="18"/>
          <w:szCs w:val="18"/>
        </w:rPr>
      </w:pPr>
    </w:p>
    <w:p w:rsidR="00233438" w:rsidRPr="000A1DEB" w:rsidRDefault="00233438" w:rsidP="00233438">
      <w:pPr>
        <w:pStyle w:val="ListParagraph"/>
        <w:numPr>
          <w:ilvl w:val="0"/>
          <w:numId w:val="6"/>
        </w:numPr>
        <w:rPr>
          <w:rFonts w:ascii="Arial" w:hAnsi="Arial" w:cs="Arial"/>
          <w:sz w:val="18"/>
          <w:szCs w:val="18"/>
        </w:rPr>
      </w:pPr>
      <w:r w:rsidRPr="00AB114B">
        <w:rPr>
          <w:rFonts w:ascii="Arial" w:hAnsi="Arial" w:cs="Arial"/>
          <w:b/>
          <w:sz w:val="18"/>
          <w:szCs w:val="18"/>
          <w:u w:val="single"/>
        </w:rPr>
        <w:t xml:space="preserve">CLINICAL EDITS THROUGH MANUAL REVIEW PRIOR APPROVAL </w:t>
      </w:r>
      <w:r>
        <w:rPr>
          <w:rFonts w:ascii="Arial" w:hAnsi="Arial" w:cs="Arial"/>
          <w:b/>
          <w:sz w:val="18"/>
          <w:szCs w:val="18"/>
          <w:u w:val="single"/>
        </w:rPr>
        <w:t>(PA) PROCESS:</w:t>
      </w:r>
    </w:p>
    <w:p w:rsidR="00251F75" w:rsidRPr="00251F75" w:rsidRDefault="000A1DEB" w:rsidP="00850780">
      <w:pPr>
        <w:pStyle w:val="ListParagraph"/>
        <w:numPr>
          <w:ilvl w:val="1"/>
          <w:numId w:val="6"/>
        </w:numPr>
        <w:rPr>
          <w:rFonts w:ascii="Arial" w:hAnsi="Arial" w:cs="Arial"/>
          <w:sz w:val="18"/>
          <w:szCs w:val="18"/>
        </w:rPr>
      </w:pPr>
      <w:r w:rsidRPr="000A1DEB">
        <w:rPr>
          <w:rFonts w:ascii="Arial" w:hAnsi="Arial" w:cs="Arial"/>
          <w:b/>
          <w:sz w:val="18"/>
          <w:szCs w:val="18"/>
        </w:rPr>
        <w:t>Lazanda</w:t>
      </w:r>
      <w:r w:rsidR="00B4387A">
        <w:rPr>
          <w:rFonts w:ascii="Arial" w:hAnsi="Arial" w:cs="Arial"/>
          <w:b/>
          <w:sz w:val="18"/>
          <w:szCs w:val="18"/>
        </w:rPr>
        <w:t>®</w:t>
      </w:r>
      <w:r w:rsidRPr="000A1DEB">
        <w:rPr>
          <w:rFonts w:ascii="Arial" w:hAnsi="Arial" w:cs="Arial"/>
          <w:b/>
          <w:sz w:val="18"/>
          <w:szCs w:val="18"/>
        </w:rPr>
        <w:t xml:space="preserve"> (fentanyl) 100 mcg and 400 mcg Nasal Spray</w:t>
      </w:r>
      <w:r>
        <w:rPr>
          <w:rFonts w:ascii="Arial" w:hAnsi="Arial" w:cs="Arial"/>
          <w:b/>
          <w:sz w:val="18"/>
          <w:szCs w:val="18"/>
        </w:rPr>
        <w:t xml:space="preserve">:  </w:t>
      </w:r>
    </w:p>
    <w:p w:rsidR="000A1DEB" w:rsidRDefault="00BC7698" w:rsidP="00251F75">
      <w:pPr>
        <w:pStyle w:val="ListParagraph"/>
        <w:ind w:left="1440"/>
        <w:rPr>
          <w:rFonts w:ascii="Arial" w:hAnsi="Arial" w:cs="Arial"/>
          <w:sz w:val="18"/>
          <w:szCs w:val="18"/>
        </w:rPr>
      </w:pPr>
      <w:r w:rsidRPr="000A1DEB">
        <w:rPr>
          <w:rFonts w:ascii="Arial" w:hAnsi="Arial" w:cs="Arial"/>
          <w:b/>
          <w:sz w:val="18"/>
          <w:szCs w:val="18"/>
        </w:rPr>
        <w:t>Lazanda</w:t>
      </w:r>
      <w:r>
        <w:rPr>
          <w:rFonts w:ascii="Arial" w:hAnsi="Arial" w:cs="Arial"/>
          <w:b/>
          <w:sz w:val="18"/>
          <w:szCs w:val="18"/>
        </w:rPr>
        <w:t>®</w:t>
      </w:r>
      <w:r w:rsidR="000A1DEB" w:rsidRPr="000A1DEB">
        <w:rPr>
          <w:rFonts w:ascii="Arial" w:hAnsi="Arial" w:cs="Arial"/>
          <w:sz w:val="18"/>
          <w:szCs w:val="18"/>
        </w:rPr>
        <w:t xml:space="preserve"> is an opioid agonist indicated for the management of breakthrough pain in cancer patients 18 years of age and older who are already receiving and who are tolerant to opioid therapy for their underlying persistent cancer pain.</w:t>
      </w:r>
      <w:r w:rsidR="000A1DEB">
        <w:rPr>
          <w:rFonts w:ascii="Arial" w:hAnsi="Arial" w:cs="Arial"/>
          <w:sz w:val="18"/>
          <w:szCs w:val="18"/>
        </w:rPr>
        <w:t xml:space="preserve"> </w:t>
      </w:r>
      <w:r w:rsidR="002F5DC6" w:rsidRPr="002F5DC6">
        <w:rPr>
          <w:rFonts w:ascii="Arial" w:hAnsi="Arial" w:cs="Arial"/>
          <w:sz w:val="18"/>
          <w:szCs w:val="18"/>
        </w:rPr>
        <w:t xml:space="preserve">Patients considered opioid tolerant are those who are taking at least: 60 mg of oral morphine/day, 25 mcg of transdermal fentanyl/hour, 30 mg oral oxycodone/day, 8 mg oral hydromorphone/day, 25 mg oral oxymorphone/day, or an equianalgesic dose of another opioid for a week or longer. Patients must remain on around-the-clock opioids when taking </w:t>
      </w:r>
      <w:r w:rsidRPr="000A1DEB">
        <w:rPr>
          <w:rFonts w:ascii="Arial" w:hAnsi="Arial" w:cs="Arial"/>
          <w:b/>
          <w:sz w:val="18"/>
          <w:szCs w:val="18"/>
        </w:rPr>
        <w:t>Lazanda</w:t>
      </w:r>
      <w:r>
        <w:rPr>
          <w:rFonts w:ascii="Arial" w:hAnsi="Arial" w:cs="Arial"/>
          <w:b/>
          <w:sz w:val="18"/>
          <w:szCs w:val="18"/>
        </w:rPr>
        <w:t>®</w:t>
      </w:r>
      <w:r w:rsidR="002F5DC6" w:rsidRPr="002F5DC6">
        <w:rPr>
          <w:rFonts w:ascii="Arial" w:hAnsi="Arial" w:cs="Arial"/>
          <w:sz w:val="18"/>
          <w:szCs w:val="18"/>
        </w:rPr>
        <w:t xml:space="preserve">. </w:t>
      </w:r>
      <w:r w:rsidR="002F5DC6">
        <w:rPr>
          <w:rFonts w:ascii="Arial" w:hAnsi="Arial" w:cs="Arial"/>
          <w:sz w:val="18"/>
          <w:szCs w:val="18"/>
        </w:rPr>
        <w:t xml:space="preserve"> </w:t>
      </w:r>
      <w:r w:rsidR="000A1DEB" w:rsidRPr="000A1DEB">
        <w:rPr>
          <w:rFonts w:ascii="Arial" w:hAnsi="Arial" w:cs="Arial"/>
          <w:sz w:val="18"/>
          <w:szCs w:val="18"/>
        </w:rPr>
        <w:t xml:space="preserve">Initial dose of </w:t>
      </w:r>
      <w:r w:rsidRPr="000A1DEB">
        <w:rPr>
          <w:rFonts w:ascii="Arial" w:hAnsi="Arial" w:cs="Arial"/>
          <w:b/>
          <w:sz w:val="18"/>
          <w:szCs w:val="18"/>
        </w:rPr>
        <w:t>Lazanda</w:t>
      </w:r>
      <w:r>
        <w:rPr>
          <w:rFonts w:ascii="Arial" w:hAnsi="Arial" w:cs="Arial"/>
          <w:b/>
          <w:sz w:val="18"/>
          <w:szCs w:val="18"/>
        </w:rPr>
        <w:t>®</w:t>
      </w:r>
      <w:r w:rsidR="000A1DEB" w:rsidRPr="000A1DEB">
        <w:rPr>
          <w:rFonts w:ascii="Arial" w:hAnsi="Arial" w:cs="Arial"/>
          <w:sz w:val="18"/>
          <w:szCs w:val="18"/>
        </w:rPr>
        <w:t xml:space="preserve"> for all patients is 100 mcg.  Individually titrate to an effective dose, from 100 mcg to 200 mcg to 400 mcg, and up to a maximum of 800 mcg, that provides adequate analgesia with tolerable side effects. Dose is a single spray into one nostril or a single spray into each nostril (2 sprays).</w:t>
      </w:r>
    </w:p>
    <w:p w:rsidR="00B4387A" w:rsidRDefault="00B4387A" w:rsidP="00B4387A">
      <w:pPr>
        <w:pStyle w:val="ListParagraph"/>
        <w:ind w:firstLine="720"/>
        <w:rPr>
          <w:rFonts w:ascii="Arial" w:hAnsi="Arial" w:cs="Arial"/>
          <w:sz w:val="18"/>
          <w:szCs w:val="18"/>
        </w:rPr>
      </w:pPr>
    </w:p>
    <w:p w:rsidR="00B4387A" w:rsidRDefault="00B4387A" w:rsidP="00B4387A">
      <w:pPr>
        <w:pStyle w:val="ListParagraph"/>
        <w:ind w:left="1440"/>
        <w:rPr>
          <w:rFonts w:ascii="Arial" w:hAnsi="Arial" w:cs="Arial"/>
          <w:sz w:val="18"/>
          <w:szCs w:val="18"/>
        </w:rPr>
      </w:pPr>
      <w:r>
        <w:rPr>
          <w:rFonts w:ascii="Arial" w:hAnsi="Arial" w:cs="Arial"/>
          <w:sz w:val="18"/>
          <w:szCs w:val="18"/>
        </w:rPr>
        <w:t xml:space="preserve">The reimbursement rate of the </w:t>
      </w:r>
      <w:r w:rsidR="00BC7698" w:rsidRPr="000A1DEB">
        <w:rPr>
          <w:rFonts w:ascii="Arial" w:hAnsi="Arial" w:cs="Arial"/>
          <w:b/>
          <w:sz w:val="18"/>
          <w:szCs w:val="18"/>
        </w:rPr>
        <w:t>Lazanda</w:t>
      </w:r>
      <w:r w:rsidR="00BC7698">
        <w:rPr>
          <w:rFonts w:ascii="Arial" w:hAnsi="Arial" w:cs="Arial"/>
          <w:b/>
          <w:sz w:val="18"/>
          <w:szCs w:val="18"/>
        </w:rPr>
        <w:t>®</w:t>
      </w:r>
      <w:r w:rsidRPr="00B4387A">
        <w:rPr>
          <w:rFonts w:ascii="Arial" w:hAnsi="Arial" w:cs="Arial"/>
          <w:sz w:val="18"/>
          <w:szCs w:val="18"/>
        </w:rPr>
        <w:t xml:space="preserve"> 100 mcg nasal spray is $</w:t>
      </w:r>
      <w:r w:rsidR="002D0FCA">
        <w:rPr>
          <w:rFonts w:ascii="Arial" w:hAnsi="Arial" w:cs="Arial"/>
          <w:sz w:val="18"/>
          <w:szCs w:val="18"/>
        </w:rPr>
        <w:t>371.52</w:t>
      </w:r>
      <w:r w:rsidRPr="00B4387A">
        <w:rPr>
          <w:rFonts w:ascii="Arial" w:hAnsi="Arial" w:cs="Arial"/>
          <w:sz w:val="18"/>
          <w:szCs w:val="18"/>
        </w:rPr>
        <w:t xml:space="preserve"> per bottle (contains 8 sprays of 100 mcg per spray)</w:t>
      </w:r>
      <w:r>
        <w:rPr>
          <w:rFonts w:ascii="Arial" w:hAnsi="Arial" w:cs="Arial"/>
          <w:sz w:val="18"/>
          <w:szCs w:val="18"/>
        </w:rPr>
        <w:t>.   T</w:t>
      </w:r>
      <w:r w:rsidRPr="00B4387A">
        <w:rPr>
          <w:rFonts w:ascii="Arial" w:hAnsi="Arial" w:cs="Arial"/>
          <w:sz w:val="18"/>
          <w:szCs w:val="18"/>
        </w:rPr>
        <w:t xml:space="preserve">he </w:t>
      </w:r>
      <w:r>
        <w:rPr>
          <w:rFonts w:ascii="Arial" w:hAnsi="Arial" w:cs="Arial"/>
          <w:sz w:val="18"/>
          <w:szCs w:val="18"/>
        </w:rPr>
        <w:t xml:space="preserve">reimbursement rate of the </w:t>
      </w:r>
      <w:r w:rsidRPr="00B4387A">
        <w:rPr>
          <w:rFonts w:ascii="Arial" w:hAnsi="Arial" w:cs="Arial"/>
          <w:sz w:val="18"/>
          <w:szCs w:val="18"/>
        </w:rPr>
        <w:t xml:space="preserve">400 mcg </w:t>
      </w:r>
      <w:r w:rsidR="008B5595">
        <w:rPr>
          <w:rFonts w:ascii="Arial" w:hAnsi="Arial" w:cs="Arial"/>
          <w:sz w:val="18"/>
          <w:szCs w:val="18"/>
        </w:rPr>
        <w:t xml:space="preserve">nasal spray </w:t>
      </w:r>
      <w:r w:rsidRPr="00B4387A">
        <w:rPr>
          <w:rFonts w:ascii="Arial" w:hAnsi="Arial" w:cs="Arial"/>
          <w:sz w:val="18"/>
          <w:szCs w:val="18"/>
        </w:rPr>
        <w:t>is $4</w:t>
      </w:r>
      <w:r w:rsidR="002D0FCA">
        <w:rPr>
          <w:rFonts w:ascii="Arial" w:hAnsi="Arial" w:cs="Arial"/>
          <w:sz w:val="18"/>
          <w:szCs w:val="18"/>
        </w:rPr>
        <w:t>68</w:t>
      </w:r>
      <w:r w:rsidRPr="00B4387A">
        <w:rPr>
          <w:rFonts w:ascii="Arial" w:hAnsi="Arial" w:cs="Arial"/>
          <w:sz w:val="18"/>
          <w:szCs w:val="18"/>
        </w:rPr>
        <w:t>.</w:t>
      </w:r>
      <w:r w:rsidR="002D0FCA">
        <w:rPr>
          <w:rFonts w:ascii="Arial" w:hAnsi="Arial" w:cs="Arial"/>
          <w:sz w:val="18"/>
          <w:szCs w:val="18"/>
        </w:rPr>
        <w:t>5</w:t>
      </w:r>
      <w:r w:rsidRPr="00B4387A">
        <w:rPr>
          <w:rFonts w:ascii="Arial" w:hAnsi="Arial" w:cs="Arial"/>
          <w:sz w:val="18"/>
          <w:szCs w:val="18"/>
        </w:rPr>
        <w:t>3 per bottle (contains 8 sprays of 400 mcg per spray).</w:t>
      </w:r>
    </w:p>
    <w:p w:rsidR="00B4387A" w:rsidRDefault="00B4387A" w:rsidP="00B4387A">
      <w:pPr>
        <w:pStyle w:val="ListParagraph"/>
        <w:ind w:left="1440"/>
        <w:rPr>
          <w:rFonts w:ascii="Arial" w:hAnsi="Arial" w:cs="Arial"/>
          <w:sz w:val="18"/>
          <w:szCs w:val="18"/>
        </w:rPr>
      </w:pPr>
    </w:p>
    <w:p w:rsidR="00B4387A" w:rsidRPr="000A1DEB" w:rsidRDefault="005768BA" w:rsidP="00B4387A">
      <w:pPr>
        <w:pStyle w:val="ListParagraph"/>
        <w:ind w:left="1440"/>
        <w:rPr>
          <w:rFonts w:ascii="Arial" w:hAnsi="Arial" w:cs="Arial"/>
          <w:sz w:val="18"/>
          <w:szCs w:val="18"/>
        </w:rPr>
      </w:pPr>
      <w:r w:rsidRPr="00464DAF">
        <w:rPr>
          <w:rFonts w:ascii="Arial" w:hAnsi="Arial" w:cs="Arial"/>
          <w:sz w:val="18"/>
          <w:szCs w:val="18"/>
        </w:rPr>
        <w:t>Manual Review PA will be required for all requests</w:t>
      </w:r>
      <w:r>
        <w:rPr>
          <w:rFonts w:ascii="Arial" w:hAnsi="Arial" w:cs="Arial"/>
          <w:sz w:val="18"/>
          <w:szCs w:val="18"/>
        </w:rPr>
        <w:t xml:space="preserve"> for </w:t>
      </w:r>
      <w:r w:rsidR="00BC7698" w:rsidRPr="000A1DEB">
        <w:rPr>
          <w:rFonts w:ascii="Arial" w:hAnsi="Arial" w:cs="Arial"/>
          <w:b/>
          <w:sz w:val="18"/>
          <w:szCs w:val="18"/>
        </w:rPr>
        <w:t>Lazanda</w:t>
      </w:r>
      <w:r w:rsidR="00BC7698">
        <w:rPr>
          <w:rFonts w:ascii="Arial" w:hAnsi="Arial" w:cs="Arial"/>
          <w:b/>
          <w:sz w:val="18"/>
          <w:szCs w:val="18"/>
        </w:rPr>
        <w:t>®</w:t>
      </w:r>
      <w:r>
        <w:rPr>
          <w:rFonts w:ascii="Arial" w:hAnsi="Arial" w:cs="Arial"/>
          <w:sz w:val="18"/>
          <w:szCs w:val="18"/>
        </w:rPr>
        <w:t xml:space="preserve"> </w:t>
      </w:r>
      <w:r w:rsidRPr="00464DAF">
        <w:rPr>
          <w:rFonts w:ascii="Arial" w:hAnsi="Arial" w:cs="Arial"/>
          <w:sz w:val="18"/>
          <w:szCs w:val="18"/>
        </w:rPr>
        <w:t>and will be reviewed on a case-by-case basis</w:t>
      </w:r>
      <w:r w:rsidR="00B4387A" w:rsidRPr="00B4387A">
        <w:rPr>
          <w:rFonts w:ascii="Arial" w:hAnsi="Arial" w:cs="Arial"/>
          <w:sz w:val="18"/>
          <w:szCs w:val="18"/>
        </w:rPr>
        <w:t>.</w:t>
      </w:r>
    </w:p>
    <w:p w:rsidR="00233438" w:rsidRDefault="00233438" w:rsidP="00227AD3">
      <w:pPr>
        <w:rPr>
          <w:rFonts w:ascii="Arial" w:hAnsi="Arial" w:cs="Arial"/>
          <w:b/>
          <w:sz w:val="18"/>
          <w:szCs w:val="18"/>
        </w:rPr>
      </w:pPr>
    </w:p>
    <w:p w:rsidR="00B4387A" w:rsidRDefault="00B4387A" w:rsidP="00B4387A">
      <w:pPr>
        <w:pStyle w:val="ListParagraph"/>
        <w:tabs>
          <w:tab w:val="left" w:pos="1095"/>
        </w:tabs>
        <w:ind w:left="1080"/>
        <w:rPr>
          <w:rFonts w:ascii="Arial" w:hAnsi="Arial" w:cs="Arial"/>
          <w:b/>
          <w:sz w:val="18"/>
          <w:szCs w:val="18"/>
        </w:rPr>
      </w:pP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Pr="00464DAF">
        <w:rPr>
          <w:rFonts w:ascii="Arial" w:hAnsi="Arial" w:cs="Arial"/>
          <w:b/>
          <w:sz w:val="18"/>
          <w:szCs w:val="18"/>
        </w:rPr>
        <w:t xml:space="preserve">.  </w:t>
      </w:r>
    </w:p>
    <w:p w:rsidR="00B4387A" w:rsidRDefault="00B4387A" w:rsidP="00B4387A">
      <w:pPr>
        <w:pStyle w:val="ListParagraph"/>
        <w:tabs>
          <w:tab w:val="left" w:pos="1095"/>
        </w:tabs>
        <w:ind w:left="1080"/>
        <w:rPr>
          <w:rFonts w:ascii="Arial" w:hAnsi="Arial" w:cs="Arial"/>
          <w:b/>
          <w:sz w:val="18"/>
          <w:szCs w:val="18"/>
        </w:rPr>
      </w:pPr>
    </w:p>
    <w:p w:rsidR="00B4387A" w:rsidRPr="00A26F51" w:rsidRDefault="00CC5722" w:rsidP="009073A0">
      <w:pPr>
        <w:pStyle w:val="ListParagraph"/>
        <w:numPr>
          <w:ilvl w:val="1"/>
          <w:numId w:val="6"/>
        </w:numPr>
        <w:tabs>
          <w:tab w:val="left" w:pos="1095"/>
        </w:tabs>
        <w:rPr>
          <w:rFonts w:ascii="Arial" w:hAnsi="Arial" w:cs="Arial"/>
          <w:b/>
          <w:sz w:val="18"/>
          <w:szCs w:val="18"/>
        </w:rPr>
      </w:pPr>
      <w:r>
        <w:rPr>
          <w:rFonts w:ascii="Arial" w:hAnsi="Arial" w:cs="Arial"/>
          <w:b/>
          <w:sz w:val="18"/>
          <w:szCs w:val="18"/>
        </w:rPr>
        <w:t>Oral SL</w:t>
      </w:r>
      <w:r w:rsidR="00B4387A">
        <w:rPr>
          <w:rFonts w:ascii="Arial" w:hAnsi="Arial" w:cs="Arial"/>
          <w:b/>
          <w:sz w:val="18"/>
          <w:szCs w:val="18"/>
        </w:rPr>
        <w:t xml:space="preserve"> tablets of Allergen Extracts, Ragwitek™ (short Ragweed Pollen Allergen Extract) and Grastek® (Timothy Grass Pollen Allerg</w:t>
      </w:r>
      <w:r>
        <w:rPr>
          <w:rFonts w:ascii="Arial" w:hAnsi="Arial" w:cs="Arial"/>
          <w:b/>
          <w:sz w:val="18"/>
          <w:szCs w:val="18"/>
        </w:rPr>
        <w:t>e</w:t>
      </w:r>
      <w:r w:rsidR="00B4387A">
        <w:rPr>
          <w:rFonts w:ascii="Arial" w:hAnsi="Arial" w:cs="Arial"/>
          <w:b/>
          <w:sz w:val="18"/>
          <w:szCs w:val="18"/>
        </w:rPr>
        <w:t xml:space="preserve">n Extract):  </w:t>
      </w:r>
    </w:p>
    <w:p w:rsidR="002B0CCF" w:rsidRDefault="002B0CCF" w:rsidP="00A26F51">
      <w:pPr>
        <w:pStyle w:val="ListParagraph"/>
        <w:tabs>
          <w:tab w:val="left" w:pos="1095"/>
        </w:tabs>
        <w:ind w:left="1455"/>
        <w:rPr>
          <w:rFonts w:ascii="Arial" w:hAnsi="Arial" w:cs="Arial"/>
          <w:b/>
          <w:sz w:val="18"/>
          <w:szCs w:val="18"/>
        </w:rPr>
      </w:pPr>
    </w:p>
    <w:p w:rsidR="00F106A4" w:rsidRDefault="00A26F51" w:rsidP="00A26F51">
      <w:pPr>
        <w:pStyle w:val="ListParagraph"/>
        <w:tabs>
          <w:tab w:val="left" w:pos="1095"/>
        </w:tabs>
        <w:ind w:left="1455"/>
        <w:rPr>
          <w:rFonts w:ascii="Arial" w:hAnsi="Arial" w:cs="Arial"/>
          <w:sz w:val="18"/>
          <w:szCs w:val="18"/>
        </w:rPr>
      </w:pPr>
      <w:r w:rsidRPr="00251F75">
        <w:rPr>
          <w:rFonts w:ascii="Arial" w:hAnsi="Arial" w:cs="Arial"/>
          <w:b/>
          <w:sz w:val="18"/>
          <w:szCs w:val="18"/>
        </w:rPr>
        <w:t xml:space="preserve">Ragwitek™: </w:t>
      </w:r>
      <w:r>
        <w:rPr>
          <w:rFonts w:ascii="Arial" w:hAnsi="Arial" w:cs="Arial"/>
          <w:sz w:val="18"/>
          <w:szCs w:val="18"/>
        </w:rPr>
        <w:t xml:space="preserve"> </w:t>
      </w:r>
      <w:r w:rsidR="00BC7698">
        <w:rPr>
          <w:rFonts w:ascii="Arial" w:hAnsi="Arial" w:cs="Arial"/>
          <w:b/>
          <w:sz w:val="18"/>
          <w:szCs w:val="18"/>
        </w:rPr>
        <w:t>Ragwitek™</w:t>
      </w:r>
      <w:r w:rsidRPr="00A26F51">
        <w:rPr>
          <w:rFonts w:ascii="Arial" w:hAnsi="Arial" w:cs="Arial"/>
          <w:sz w:val="18"/>
          <w:szCs w:val="18"/>
        </w:rPr>
        <w:t xml:space="preserve"> is an allergen extract indicated as immunotherapy for the treatment of short ragweed pollen-induced allergic rhinitis, with or without conjunctivitis, confirmed by positive skin test or in vitro testing for pollen-specific IgE antibodies for short ragweed pollen. </w:t>
      </w:r>
      <w:r>
        <w:rPr>
          <w:rFonts w:ascii="Arial" w:hAnsi="Arial" w:cs="Arial"/>
          <w:sz w:val="18"/>
          <w:szCs w:val="18"/>
        </w:rPr>
        <w:t xml:space="preserve"> </w:t>
      </w:r>
      <w:r w:rsidR="00BC7698">
        <w:rPr>
          <w:rFonts w:ascii="Arial" w:hAnsi="Arial" w:cs="Arial"/>
          <w:b/>
          <w:sz w:val="18"/>
          <w:szCs w:val="18"/>
        </w:rPr>
        <w:t>Ragwitek™</w:t>
      </w:r>
      <w:r w:rsidR="00131B2F">
        <w:rPr>
          <w:rFonts w:ascii="Arial" w:hAnsi="Arial" w:cs="Arial"/>
          <w:sz w:val="18"/>
          <w:szCs w:val="18"/>
        </w:rPr>
        <w:t xml:space="preserve"> </w:t>
      </w:r>
      <w:r w:rsidR="00131B2F" w:rsidRPr="00A26F51">
        <w:rPr>
          <w:rFonts w:ascii="Arial" w:hAnsi="Arial" w:cs="Arial"/>
          <w:sz w:val="18"/>
          <w:szCs w:val="18"/>
        </w:rPr>
        <w:t>is</w:t>
      </w:r>
      <w:r w:rsidRPr="00A26F51">
        <w:rPr>
          <w:rFonts w:ascii="Arial" w:hAnsi="Arial" w:cs="Arial"/>
          <w:sz w:val="18"/>
          <w:szCs w:val="18"/>
        </w:rPr>
        <w:t xml:space="preserve"> approved for use in adults 18 through 65 years of age. </w:t>
      </w:r>
      <w:r w:rsidR="00BC7698">
        <w:rPr>
          <w:rFonts w:ascii="Arial" w:hAnsi="Arial" w:cs="Arial"/>
          <w:b/>
          <w:sz w:val="18"/>
          <w:szCs w:val="18"/>
        </w:rPr>
        <w:t>Ragwitek™</w:t>
      </w:r>
      <w:r w:rsidRPr="00A26F51">
        <w:rPr>
          <w:rFonts w:ascii="Arial" w:hAnsi="Arial" w:cs="Arial"/>
          <w:sz w:val="18"/>
          <w:szCs w:val="18"/>
        </w:rPr>
        <w:t xml:space="preserve"> is not indicated for the immediate relief of allergic symptoms.</w:t>
      </w:r>
      <w:r>
        <w:rPr>
          <w:rFonts w:ascii="Arial" w:hAnsi="Arial" w:cs="Arial"/>
          <w:sz w:val="18"/>
          <w:szCs w:val="18"/>
        </w:rPr>
        <w:t xml:space="preserve">  </w:t>
      </w:r>
    </w:p>
    <w:p w:rsidR="00A26F51" w:rsidRDefault="00BC7698" w:rsidP="00A26F51">
      <w:pPr>
        <w:pStyle w:val="ListParagraph"/>
        <w:tabs>
          <w:tab w:val="left" w:pos="1095"/>
        </w:tabs>
        <w:ind w:left="1455"/>
        <w:rPr>
          <w:rFonts w:ascii="Arial" w:hAnsi="Arial" w:cs="Arial"/>
          <w:sz w:val="18"/>
          <w:szCs w:val="18"/>
        </w:rPr>
      </w:pPr>
      <w:r>
        <w:rPr>
          <w:rFonts w:ascii="Arial" w:hAnsi="Arial" w:cs="Arial"/>
          <w:b/>
          <w:sz w:val="18"/>
          <w:szCs w:val="18"/>
        </w:rPr>
        <w:t>Ragwitek™</w:t>
      </w:r>
      <w:r w:rsidR="00F106A4">
        <w:rPr>
          <w:rFonts w:ascii="Arial" w:hAnsi="Arial" w:cs="Arial"/>
          <w:sz w:val="18"/>
          <w:szCs w:val="18"/>
        </w:rPr>
        <w:t xml:space="preserve"> has the following black box warning:</w:t>
      </w:r>
    </w:p>
    <w:p w:rsidR="00F106A4" w:rsidRPr="00F106A4" w:rsidRDefault="00F106A4" w:rsidP="00F106A4">
      <w:pPr>
        <w:pStyle w:val="ListParagraph"/>
        <w:tabs>
          <w:tab w:val="left" w:pos="1095"/>
        </w:tabs>
        <w:ind w:left="1455"/>
        <w:rPr>
          <w:rFonts w:ascii="Arial" w:hAnsi="Arial" w:cs="Arial"/>
          <w:sz w:val="18"/>
          <w:szCs w:val="18"/>
        </w:rPr>
      </w:pPr>
      <w:r w:rsidRPr="00F106A4">
        <w:rPr>
          <w:rFonts w:ascii="Arial" w:hAnsi="Arial" w:cs="Arial"/>
          <w:sz w:val="18"/>
          <w:szCs w:val="18"/>
        </w:rPr>
        <w:t>WARNING: SEVERE ALLERGIC REACTIONS</w:t>
      </w:r>
    </w:p>
    <w:p w:rsidR="00F106A4" w:rsidRPr="00F106A4" w:rsidRDefault="00BC7698" w:rsidP="00F106A4">
      <w:pPr>
        <w:pStyle w:val="ListParagraph"/>
        <w:numPr>
          <w:ilvl w:val="2"/>
          <w:numId w:val="33"/>
        </w:numPr>
        <w:tabs>
          <w:tab w:val="left" w:pos="1095"/>
        </w:tabs>
        <w:rPr>
          <w:rFonts w:ascii="Arial" w:hAnsi="Arial" w:cs="Arial"/>
          <w:sz w:val="18"/>
          <w:szCs w:val="18"/>
        </w:rPr>
      </w:pPr>
      <w:r>
        <w:rPr>
          <w:rFonts w:ascii="Arial" w:hAnsi="Arial" w:cs="Arial"/>
          <w:b/>
          <w:sz w:val="18"/>
          <w:szCs w:val="18"/>
        </w:rPr>
        <w:t>Ragwitek™</w:t>
      </w:r>
      <w:r w:rsidR="00F106A4" w:rsidRPr="00F106A4">
        <w:rPr>
          <w:rFonts w:ascii="Arial" w:hAnsi="Arial" w:cs="Arial"/>
          <w:sz w:val="18"/>
          <w:szCs w:val="18"/>
        </w:rPr>
        <w:t xml:space="preserve"> can cause life-threatening allergic reactions such as anaphylaxis and severe laryngopharyngeal restriction. </w:t>
      </w:r>
    </w:p>
    <w:p w:rsidR="00F106A4" w:rsidRPr="00F106A4" w:rsidRDefault="00F106A4" w:rsidP="00F106A4">
      <w:pPr>
        <w:pStyle w:val="ListParagraph"/>
        <w:numPr>
          <w:ilvl w:val="2"/>
          <w:numId w:val="33"/>
        </w:numPr>
        <w:tabs>
          <w:tab w:val="left" w:pos="1095"/>
        </w:tabs>
        <w:rPr>
          <w:rFonts w:ascii="Arial" w:hAnsi="Arial" w:cs="Arial"/>
          <w:sz w:val="18"/>
          <w:szCs w:val="18"/>
        </w:rPr>
      </w:pPr>
      <w:r w:rsidRPr="00F106A4">
        <w:rPr>
          <w:rFonts w:ascii="Arial" w:hAnsi="Arial" w:cs="Arial"/>
          <w:sz w:val="18"/>
          <w:szCs w:val="18"/>
        </w:rPr>
        <w:t xml:space="preserve">Do not administer </w:t>
      </w:r>
      <w:r w:rsidR="00BC7698">
        <w:rPr>
          <w:rFonts w:ascii="Arial" w:hAnsi="Arial" w:cs="Arial"/>
          <w:b/>
          <w:sz w:val="18"/>
          <w:szCs w:val="18"/>
        </w:rPr>
        <w:t>Ragwitek™</w:t>
      </w:r>
      <w:r w:rsidRPr="00F106A4">
        <w:rPr>
          <w:rFonts w:ascii="Arial" w:hAnsi="Arial" w:cs="Arial"/>
          <w:sz w:val="18"/>
          <w:szCs w:val="18"/>
        </w:rPr>
        <w:t xml:space="preserve"> to patients with severe, unstable or uncontrolled asthma. </w:t>
      </w:r>
    </w:p>
    <w:p w:rsidR="00F106A4" w:rsidRPr="00F106A4" w:rsidRDefault="00F106A4" w:rsidP="00F106A4">
      <w:pPr>
        <w:pStyle w:val="ListParagraph"/>
        <w:numPr>
          <w:ilvl w:val="2"/>
          <w:numId w:val="33"/>
        </w:numPr>
        <w:tabs>
          <w:tab w:val="left" w:pos="1095"/>
        </w:tabs>
        <w:rPr>
          <w:rFonts w:ascii="Arial" w:hAnsi="Arial" w:cs="Arial"/>
          <w:sz w:val="18"/>
          <w:szCs w:val="18"/>
        </w:rPr>
      </w:pPr>
      <w:r w:rsidRPr="00F106A4">
        <w:rPr>
          <w:rFonts w:ascii="Arial" w:hAnsi="Arial" w:cs="Arial"/>
          <w:sz w:val="18"/>
          <w:szCs w:val="18"/>
        </w:rPr>
        <w:t xml:space="preserve">Observe patients in the office for at least 30 minutes following the initial dose. </w:t>
      </w:r>
    </w:p>
    <w:p w:rsidR="00F106A4" w:rsidRPr="00F106A4" w:rsidRDefault="00F106A4" w:rsidP="00F106A4">
      <w:pPr>
        <w:pStyle w:val="ListParagraph"/>
        <w:numPr>
          <w:ilvl w:val="2"/>
          <w:numId w:val="33"/>
        </w:numPr>
        <w:tabs>
          <w:tab w:val="left" w:pos="1095"/>
        </w:tabs>
        <w:rPr>
          <w:rFonts w:ascii="Arial" w:hAnsi="Arial" w:cs="Arial"/>
          <w:sz w:val="18"/>
          <w:szCs w:val="18"/>
        </w:rPr>
      </w:pPr>
      <w:r w:rsidRPr="00F106A4">
        <w:rPr>
          <w:rFonts w:ascii="Arial" w:hAnsi="Arial" w:cs="Arial"/>
          <w:sz w:val="18"/>
          <w:szCs w:val="18"/>
        </w:rPr>
        <w:t>Prescribe auto-injectable epinephrine, instruct and train patients on its appropriate</w:t>
      </w:r>
      <w:r w:rsidR="0096170D">
        <w:rPr>
          <w:rFonts w:ascii="Arial" w:hAnsi="Arial" w:cs="Arial"/>
          <w:sz w:val="18"/>
          <w:szCs w:val="18"/>
        </w:rPr>
        <w:t xml:space="preserve"> us</w:t>
      </w:r>
      <w:r w:rsidR="00C27F57">
        <w:rPr>
          <w:rFonts w:ascii="Arial" w:hAnsi="Arial" w:cs="Arial"/>
          <w:sz w:val="18"/>
          <w:szCs w:val="18"/>
        </w:rPr>
        <w:t>e</w:t>
      </w:r>
      <w:r w:rsidR="0096170D">
        <w:rPr>
          <w:rFonts w:ascii="Arial" w:hAnsi="Arial" w:cs="Arial"/>
          <w:sz w:val="18"/>
          <w:szCs w:val="18"/>
        </w:rPr>
        <w:t>, and instruct patients to s</w:t>
      </w:r>
      <w:r w:rsidRPr="00F106A4">
        <w:rPr>
          <w:rFonts w:ascii="Arial" w:hAnsi="Arial" w:cs="Arial"/>
          <w:sz w:val="18"/>
          <w:szCs w:val="18"/>
        </w:rPr>
        <w:t xml:space="preserve">eek immediate medical care upon its use. </w:t>
      </w:r>
    </w:p>
    <w:p w:rsidR="00F106A4" w:rsidRPr="00F106A4" w:rsidRDefault="00BC7698" w:rsidP="00F106A4">
      <w:pPr>
        <w:pStyle w:val="ListParagraph"/>
        <w:numPr>
          <w:ilvl w:val="2"/>
          <w:numId w:val="33"/>
        </w:numPr>
        <w:tabs>
          <w:tab w:val="left" w:pos="1095"/>
        </w:tabs>
        <w:rPr>
          <w:rFonts w:ascii="Arial" w:hAnsi="Arial" w:cs="Arial"/>
          <w:sz w:val="18"/>
          <w:szCs w:val="18"/>
        </w:rPr>
      </w:pPr>
      <w:r>
        <w:rPr>
          <w:rFonts w:ascii="Arial" w:hAnsi="Arial" w:cs="Arial"/>
          <w:b/>
          <w:sz w:val="18"/>
          <w:szCs w:val="18"/>
        </w:rPr>
        <w:t>Ragwitek™</w:t>
      </w:r>
      <w:r w:rsidR="00F106A4" w:rsidRPr="00F106A4">
        <w:rPr>
          <w:rFonts w:ascii="Arial" w:hAnsi="Arial" w:cs="Arial"/>
          <w:sz w:val="18"/>
          <w:szCs w:val="18"/>
        </w:rPr>
        <w:t xml:space="preserve"> may not be suitable for patients with certain underlying medical conditions that may reduce their ability to survive a serious allergic reaction. </w:t>
      </w:r>
    </w:p>
    <w:p w:rsidR="00F106A4" w:rsidRDefault="00BC7698" w:rsidP="00F106A4">
      <w:pPr>
        <w:pStyle w:val="ListParagraph"/>
        <w:numPr>
          <w:ilvl w:val="2"/>
          <w:numId w:val="33"/>
        </w:numPr>
        <w:tabs>
          <w:tab w:val="left" w:pos="1095"/>
        </w:tabs>
        <w:rPr>
          <w:rFonts w:ascii="Arial" w:hAnsi="Arial" w:cs="Arial"/>
          <w:sz w:val="18"/>
          <w:szCs w:val="18"/>
        </w:rPr>
      </w:pPr>
      <w:r>
        <w:rPr>
          <w:rFonts w:ascii="Arial" w:hAnsi="Arial" w:cs="Arial"/>
          <w:b/>
          <w:sz w:val="18"/>
          <w:szCs w:val="18"/>
        </w:rPr>
        <w:t>Ragwitek™</w:t>
      </w:r>
      <w:r w:rsidR="00F106A4" w:rsidRPr="00F106A4">
        <w:rPr>
          <w:rFonts w:ascii="Arial" w:hAnsi="Arial" w:cs="Arial"/>
          <w:sz w:val="18"/>
          <w:szCs w:val="18"/>
        </w:rPr>
        <w:t xml:space="preserve"> may not be suitable for patients who may be unresponsive to epinephrine or inhaled bronchodilators, such as those taking beta-blockers.</w:t>
      </w:r>
    </w:p>
    <w:p w:rsidR="00A26F51" w:rsidRDefault="00A26F51" w:rsidP="00A26F51">
      <w:pPr>
        <w:pStyle w:val="ListParagraph"/>
        <w:tabs>
          <w:tab w:val="left" w:pos="1095"/>
        </w:tabs>
        <w:ind w:left="1455"/>
        <w:rPr>
          <w:rFonts w:ascii="Arial" w:hAnsi="Arial" w:cs="Arial"/>
          <w:sz w:val="18"/>
          <w:szCs w:val="18"/>
        </w:rPr>
      </w:pPr>
    </w:p>
    <w:p w:rsidR="00A26F51" w:rsidRDefault="00F106A4" w:rsidP="00F106A4">
      <w:pPr>
        <w:pStyle w:val="ListParagraph"/>
        <w:tabs>
          <w:tab w:val="left" w:pos="1095"/>
        </w:tabs>
        <w:ind w:left="1455"/>
        <w:rPr>
          <w:rFonts w:ascii="Arial" w:hAnsi="Arial" w:cs="Arial"/>
          <w:b/>
          <w:sz w:val="18"/>
          <w:szCs w:val="18"/>
        </w:rPr>
      </w:pPr>
      <w:r w:rsidRPr="00F106A4">
        <w:rPr>
          <w:rFonts w:ascii="Arial" w:hAnsi="Arial" w:cs="Arial"/>
          <w:sz w:val="18"/>
          <w:szCs w:val="18"/>
        </w:rPr>
        <w:t xml:space="preserve">Administer the first dose of </w:t>
      </w:r>
      <w:r w:rsidR="00BC7698">
        <w:rPr>
          <w:rFonts w:ascii="Arial" w:hAnsi="Arial" w:cs="Arial"/>
          <w:b/>
          <w:sz w:val="18"/>
          <w:szCs w:val="18"/>
        </w:rPr>
        <w:t>Ragwitek™</w:t>
      </w:r>
      <w:r w:rsidRPr="00F106A4">
        <w:rPr>
          <w:rFonts w:ascii="Arial" w:hAnsi="Arial" w:cs="Arial"/>
          <w:sz w:val="18"/>
          <w:szCs w:val="18"/>
        </w:rPr>
        <w:t xml:space="preserve"> in a healthcare setting under the supervision of a physician</w:t>
      </w:r>
      <w:r w:rsidR="00850780">
        <w:rPr>
          <w:rFonts w:ascii="Arial" w:hAnsi="Arial" w:cs="Arial"/>
          <w:sz w:val="18"/>
          <w:szCs w:val="18"/>
        </w:rPr>
        <w:t xml:space="preserve"> </w:t>
      </w:r>
      <w:r w:rsidRPr="00F106A4">
        <w:rPr>
          <w:rFonts w:ascii="Arial" w:hAnsi="Arial" w:cs="Arial"/>
          <w:sz w:val="18"/>
          <w:szCs w:val="18"/>
        </w:rPr>
        <w:t>with experience in the diagnosis and treatment of allergic diseases. After receiving the first dose of</w:t>
      </w:r>
      <w:r w:rsidR="00850780">
        <w:rPr>
          <w:rFonts w:ascii="Arial" w:hAnsi="Arial" w:cs="Arial"/>
          <w:sz w:val="18"/>
          <w:szCs w:val="18"/>
        </w:rPr>
        <w:t xml:space="preserve"> </w:t>
      </w:r>
      <w:r w:rsidR="00BC7698">
        <w:rPr>
          <w:rFonts w:ascii="Arial" w:hAnsi="Arial" w:cs="Arial"/>
          <w:b/>
          <w:sz w:val="18"/>
          <w:szCs w:val="18"/>
        </w:rPr>
        <w:t>Ragwitek™</w:t>
      </w:r>
      <w:r w:rsidRPr="00F106A4">
        <w:rPr>
          <w:rFonts w:ascii="Arial" w:hAnsi="Arial" w:cs="Arial"/>
          <w:sz w:val="18"/>
          <w:szCs w:val="18"/>
        </w:rPr>
        <w:t xml:space="preserve">, observe the patient for at least 30 minutes to monitor for signs or symptoms of a </w:t>
      </w:r>
      <w:r w:rsidRPr="00F106A4">
        <w:rPr>
          <w:rFonts w:ascii="Arial" w:hAnsi="Arial" w:cs="Arial"/>
          <w:sz w:val="18"/>
          <w:szCs w:val="18"/>
        </w:rPr>
        <w:lastRenderedPageBreak/>
        <w:t>severe systemic or a severe local allergic reaction. If the patient tolerates the first dose, the patient may take subsequent doses at home.</w:t>
      </w:r>
      <w:r>
        <w:rPr>
          <w:rFonts w:ascii="Arial" w:hAnsi="Arial" w:cs="Arial"/>
          <w:sz w:val="18"/>
          <w:szCs w:val="18"/>
        </w:rPr>
        <w:t xml:space="preserve">  </w:t>
      </w:r>
    </w:p>
    <w:p w:rsidR="00B4387A" w:rsidRDefault="00B4387A" w:rsidP="00F106A4">
      <w:pPr>
        <w:ind w:left="1440"/>
        <w:rPr>
          <w:rFonts w:ascii="Arial" w:hAnsi="Arial" w:cs="Arial"/>
          <w:b/>
          <w:sz w:val="18"/>
          <w:szCs w:val="18"/>
        </w:rPr>
      </w:pPr>
    </w:p>
    <w:p w:rsidR="00F106A4" w:rsidRPr="00F106A4" w:rsidRDefault="00F106A4" w:rsidP="00F106A4">
      <w:pPr>
        <w:ind w:left="1440"/>
        <w:rPr>
          <w:rFonts w:ascii="Arial" w:hAnsi="Arial" w:cs="Arial"/>
          <w:sz w:val="18"/>
          <w:szCs w:val="18"/>
        </w:rPr>
      </w:pPr>
      <w:r>
        <w:rPr>
          <w:rFonts w:ascii="Arial" w:hAnsi="Arial" w:cs="Arial"/>
          <w:b/>
          <w:sz w:val="18"/>
          <w:szCs w:val="18"/>
        </w:rPr>
        <w:t xml:space="preserve">Grastek®:  </w:t>
      </w:r>
      <w:r w:rsidR="00BC7698">
        <w:rPr>
          <w:rFonts w:ascii="Arial" w:hAnsi="Arial" w:cs="Arial"/>
          <w:b/>
          <w:sz w:val="18"/>
          <w:szCs w:val="18"/>
        </w:rPr>
        <w:t>Grastek®</w:t>
      </w:r>
      <w:r>
        <w:rPr>
          <w:rFonts w:ascii="Arial" w:hAnsi="Arial" w:cs="Arial"/>
          <w:sz w:val="18"/>
          <w:szCs w:val="18"/>
        </w:rPr>
        <w:t xml:space="preserve"> </w:t>
      </w:r>
      <w:r w:rsidRPr="00F106A4">
        <w:rPr>
          <w:rFonts w:ascii="Arial" w:hAnsi="Arial" w:cs="Arial"/>
          <w:sz w:val="18"/>
          <w:szCs w:val="18"/>
        </w:rPr>
        <w:t xml:space="preserve">is an allergen extract indicated as immunotherapy for the treatment of grass pollen-induced allergic rhinitis with or without conjunctivitis confirmed by positive skin test or in vitro testing for pollen-specific IgE antibodies for Timothy grass or cross-reactive grass pollens. </w:t>
      </w:r>
      <w:r>
        <w:rPr>
          <w:rFonts w:ascii="Arial" w:hAnsi="Arial" w:cs="Arial"/>
          <w:sz w:val="18"/>
          <w:szCs w:val="18"/>
        </w:rPr>
        <w:t xml:space="preserve"> </w:t>
      </w:r>
      <w:r w:rsidR="00BC7698">
        <w:rPr>
          <w:rFonts w:ascii="Arial" w:hAnsi="Arial" w:cs="Arial"/>
          <w:b/>
          <w:sz w:val="18"/>
          <w:szCs w:val="18"/>
        </w:rPr>
        <w:t>Grastek®</w:t>
      </w:r>
      <w:r w:rsidRPr="00F106A4">
        <w:rPr>
          <w:rFonts w:ascii="Arial" w:hAnsi="Arial" w:cs="Arial"/>
          <w:sz w:val="18"/>
          <w:szCs w:val="18"/>
        </w:rPr>
        <w:t xml:space="preserve"> is approved for use in persons 5 through 65 years of age.</w:t>
      </w:r>
      <w:r w:rsidR="005768BA">
        <w:rPr>
          <w:rFonts w:ascii="Arial" w:hAnsi="Arial" w:cs="Arial"/>
          <w:sz w:val="18"/>
          <w:szCs w:val="18"/>
        </w:rPr>
        <w:t xml:space="preserve">  </w:t>
      </w:r>
      <w:r w:rsidR="00BC7698">
        <w:rPr>
          <w:rFonts w:ascii="Arial" w:hAnsi="Arial" w:cs="Arial"/>
          <w:b/>
          <w:sz w:val="18"/>
          <w:szCs w:val="18"/>
        </w:rPr>
        <w:t>Grastek®</w:t>
      </w:r>
      <w:r w:rsidRPr="00F106A4">
        <w:rPr>
          <w:rFonts w:ascii="Arial" w:hAnsi="Arial" w:cs="Arial"/>
          <w:sz w:val="18"/>
          <w:szCs w:val="18"/>
        </w:rPr>
        <w:t xml:space="preserve"> is not indicated for the immediate relief of allergic symptoms.</w:t>
      </w:r>
    </w:p>
    <w:p w:rsidR="00F106A4" w:rsidRPr="00F106A4" w:rsidRDefault="00F106A4" w:rsidP="00F106A4">
      <w:pPr>
        <w:ind w:left="1440"/>
        <w:rPr>
          <w:rFonts w:ascii="Arial" w:hAnsi="Arial" w:cs="Arial"/>
          <w:sz w:val="18"/>
          <w:szCs w:val="18"/>
        </w:rPr>
      </w:pPr>
    </w:p>
    <w:p w:rsidR="00F106A4" w:rsidRDefault="00F106A4" w:rsidP="00F106A4">
      <w:pPr>
        <w:ind w:left="1440"/>
        <w:rPr>
          <w:rFonts w:ascii="Arial" w:hAnsi="Arial" w:cs="Arial"/>
          <w:sz w:val="18"/>
          <w:szCs w:val="18"/>
        </w:rPr>
      </w:pPr>
      <w:r w:rsidRPr="00F106A4">
        <w:rPr>
          <w:rFonts w:ascii="Arial" w:hAnsi="Arial" w:cs="Arial"/>
          <w:sz w:val="18"/>
          <w:szCs w:val="18"/>
        </w:rPr>
        <w:t xml:space="preserve">Administer the first dose of </w:t>
      </w:r>
      <w:r w:rsidR="00BC7698">
        <w:rPr>
          <w:rFonts w:ascii="Arial" w:hAnsi="Arial" w:cs="Arial"/>
          <w:b/>
          <w:sz w:val="18"/>
          <w:szCs w:val="18"/>
        </w:rPr>
        <w:t>Grastek®</w:t>
      </w:r>
      <w:r w:rsidRPr="00F106A4">
        <w:rPr>
          <w:rFonts w:ascii="Arial" w:hAnsi="Arial" w:cs="Arial"/>
          <w:sz w:val="18"/>
          <w:szCs w:val="18"/>
        </w:rPr>
        <w:t xml:space="preserve"> in a healthcare setting under the supervision of a physician with experience in the diagnosis and treatment of allergic diseases. After receiving the first dose of </w:t>
      </w:r>
      <w:r w:rsidR="00BC7698">
        <w:rPr>
          <w:rFonts w:ascii="Arial" w:hAnsi="Arial" w:cs="Arial"/>
          <w:b/>
          <w:sz w:val="18"/>
          <w:szCs w:val="18"/>
        </w:rPr>
        <w:t>Grastek®</w:t>
      </w:r>
      <w:r w:rsidRPr="00F106A4">
        <w:rPr>
          <w:rFonts w:ascii="Arial" w:hAnsi="Arial" w:cs="Arial"/>
          <w:sz w:val="18"/>
          <w:szCs w:val="18"/>
        </w:rPr>
        <w:t>, observe the patient for at least 30 minutes to monitor for signs or symptoms of a severe systemic or a severe local allergic reaction. If the patient tolerates the first dose, the patient may take subsequent doses at home.</w:t>
      </w:r>
    </w:p>
    <w:p w:rsidR="005768BA" w:rsidRDefault="005768BA" w:rsidP="00F106A4">
      <w:pPr>
        <w:ind w:left="1440"/>
        <w:rPr>
          <w:rFonts w:ascii="Arial" w:hAnsi="Arial" w:cs="Arial"/>
          <w:sz w:val="18"/>
          <w:szCs w:val="18"/>
        </w:rPr>
      </w:pPr>
    </w:p>
    <w:p w:rsidR="00194DEC" w:rsidRDefault="00194DEC" w:rsidP="009073A0">
      <w:pPr>
        <w:ind w:left="1440"/>
        <w:rPr>
          <w:rFonts w:ascii="Arial" w:hAnsi="Arial" w:cs="Arial"/>
          <w:sz w:val="18"/>
          <w:szCs w:val="18"/>
        </w:rPr>
      </w:pPr>
      <w:r>
        <w:rPr>
          <w:rFonts w:ascii="Arial" w:hAnsi="Arial" w:cs="Arial"/>
          <w:sz w:val="18"/>
          <w:szCs w:val="18"/>
        </w:rPr>
        <w:t>The reimbursement rate is $8.51 per capsule or $263.</w:t>
      </w:r>
      <w:r w:rsidR="002D0FCA">
        <w:rPr>
          <w:rFonts w:ascii="Arial" w:hAnsi="Arial" w:cs="Arial"/>
          <w:sz w:val="18"/>
          <w:szCs w:val="18"/>
        </w:rPr>
        <w:t>93</w:t>
      </w:r>
      <w:r>
        <w:rPr>
          <w:rFonts w:ascii="Arial" w:hAnsi="Arial" w:cs="Arial"/>
          <w:sz w:val="18"/>
          <w:szCs w:val="18"/>
        </w:rPr>
        <w:t xml:space="preserve"> per 31 day supply for either </w:t>
      </w:r>
      <w:r w:rsidR="00BC7698">
        <w:rPr>
          <w:rFonts w:ascii="Arial" w:hAnsi="Arial" w:cs="Arial"/>
          <w:b/>
          <w:sz w:val="18"/>
          <w:szCs w:val="18"/>
        </w:rPr>
        <w:t>Ragwitek™</w:t>
      </w:r>
      <w:r>
        <w:rPr>
          <w:rFonts w:ascii="Arial" w:hAnsi="Arial" w:cs="Arial"/>
          <w:sz w:val="18"/>
          <w:szCs w:val="18"/>
        </w:rPr>
        <w:t xml:space="preserve"> or </w:t>
      </w:r>
      <w:r w:rsidR="00BC7698">
        <w:rPr>
          <w:rFonts w:ascii="Arial" w:hAnsi="Arial" w:cs="Arial"/>
          <w:b/>
          <w:sz w:val="18"/>
          <w:szCs w:val="18"/>
        </w:rPr>
        <w:t>Grastek®</w:t>
      </w:r>
      <w:r>
        <w:rPr>
          <w:rFonts w:ascii="Arial" w:hAnsi="Arial" w:cs="Arial"/>
          <w:sz w:val="18"/>
          <w:szCs w:val="18"/>
        </w:rPr>
        <w:t>.</w:t>
      </w:r>
    </w:p>
    <w:p w:rsidR="00194DEC" w:rsidRDefault="00194DEC" w:rsidP="009073A0">
      <w:pPr>
        <w:ind w:left="1440"/>
        <w:rPr>
          <w:rFonts w:ascii="Arial" w:hAnsi="Arial" w:cs="Arial"/>
          <w:sz w:val="18"/>
          <w:szCs w:val="18"/>
        </w:rPr>
      </w:pPr>
    </w:p>
    <w:p w:rsidR="009073A0" w:rsidRDefault="005768BA" w:rsidP="009073A0">
      <w:pPr>
        <w:ind w:left="1440"/>
        <w:rPr>
          <w:rFonts w:ascii="Arial" w:hAnsi="Arial" w:cs="Arial"/>
          <w:sz w:val="18"/>
          <w:szCs w:val="18"/>
        </w:rPr>
      </w:pPr>
      <w:r w:rsidRPr="00464DAF">
        <w:rPr>
          <w:rFonts w:ascii="Arial" w:hAnsi="Arial" w:cs="Arial"/>
          <w:sz w:val="18"/>
          <w:szCs w:val="18"/>
        </w:rPr>
        <w:t>Manual Review PA will be required for all requests</w:t>
      </w:r>
      <w:r>
        <w:rPr>
          <w:rFonts w:ascii="Arial" w:hAnsi="Arial" w:cs="Arial"/>
          <w:sz w:val="18"/>
          <w:szCs w:val="18"/>
        </w:rPr>
        <w:t xml:space="preserve"> for </w:t>
      </w:r>
      <w:r w:rsidR="00BC7698">
        <w:rPr>
          <w:rFonts w:ascii="Arial" w:hAnsi="Arial" w:cs="Arial"/>
          <w:b/>
          <w:sz w:val="18"/>
          <w:szCs w:val="18"/>
        </w:rPr>
        <w:t>Ragwitek™</w:t>
      </w:r>
      <w:r>
        <w:rPr>
          <w:rFonts w:ascii="Arial" w:hAnsi="Arial" w:cs="Arial"/>
          <w:sz w:val="18"/>
          <w:szCs w:val="18"/>
        </w:rPr>
        <w:t xml:space="preserve"> or </w:t>
      </w:r>
      <w:r w:rsidR="00BC7698">
        <w:rPr>
          <w:rFonts w:ascii="Arial" w:hAnsi="Arial" w:cs="Arial"/>
          <w:b/>
          <w:sz w:val="18"/>
          <w:szCs w:val="18"/>
        </w:rPr>
        <w:t>Grastek®</w:t>
      </w:r>
      <w:r w:rsidR="00575A28">
        <w:rPr>
          <w:rFonts w:ascii="Arial" w:hAnsi="Arial" w:cs="Arial"/>
          <w:sz w:val="18"/>
          <w:szCs w:val="18"/>
        </w:rPr>
        <w:t xml:space="preserve"> and</w:t>
      </w:r>
      <w:r w:rsidRPr="00464DAF">
        <w:rPr>
          <w:rFonts w:ascii="Arial" w:hAnsi="Arial" w:cs="Arial"/>
          <w:sz w:val="18"/>
          <w:szCs w:val="18"/>
        </w:rPr>
        <w:t xml:space="preserve"> will be reviewed on a case-by-case basis</w:t>
      </w:r>
      <w:r>
        <w:rPr>
          <w:rFonts w:ascii="Arial" w:hAnsi="Arial" w:cs="Arial"/>
          <w:sz w:val="18"/>
          <w:szCs w:val="18"/>
        </w:rPr>
        <w:t>.</w:t>
      </w:r>
    </w:p>
    <w:p w:rsidR="00575A28" w:rsidRDefault="00575A28" w:rsidP="009073A0">
      <w:pPr>
        <w:ind w:left="1440"/>
        <w:rPr>
          <w:rFonts w:ascii="Arial" w:hAnsi="Arial" w:cs="Arial"/>
          <w:sz w:val="18"/>
          <w:szCs w:val="18"/>
        </w:rPr>
      </w:pPr>
    </w:p>
    <w:p w:rsidR="00575A28" w:rsidRDefault="00575A28" w:rsidP="00575A28">
      <w:pPr>
        <w:pStyle w:val="ListParagraph"/>
        <w:tabs>
          <w:tab w:val="left" w:pos="1095"/>
        </w:tabs>
        <w:ind w:left="1080"/>
        <w:rPr>
          <w:rFonts w:ascii="Arial" w:hAnsi="Arial" w:cs="Arial"/>
          <w:b/>
          <w:sz w:val="18"/>
          <w:szCs w:val="18"/>
        </w:rPr>
      </w:pP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Pr="00464DAF">
        <w:rPr>
          <w:rFonts w:ascii="Arial" w:hAnsi="Arial" w:cs="Arial"/>
          <w:b/>
          <w:sz w:val="18"/>
          <w:szCs w:val="18"/>
        </w:rPr>
        <w:t xml:space="preserve">.  </w:t>
      </w:r>
    </w:p>
    <w:p w:rsidR="009073A0" w:rsidRDefault="009073A0" w:rsidP="009073A0">
      <w:pPr>
        <w:ind w:left="1440"/>
        <w:rPr>
          <w:rFonts w:ascii="Arial" w:hAnsi="Arial" w:cs="Arial"/>
          <w:sz w:val="18"/>
          <w:szCs w:val="18"/>
        </w:rPr>
      </w:pPr>
    </w:p>
    <w:p w:rsidR="00233438" w:rsidRDefault="009073A0" w:rsidP="009073A0">
      <w:pPr>
        <w:pStyle w:val="ListParagraph"/>
        <w:numPr>
          <w:ilvl w:val="1"/>
          <w:numId w:val="6"/>
        </w:numPr>
        <w:rPr>
          <w:rFonts w:ascii="Arial" w:hAnsi="Arial" w:cs="Arial"/>
          <w:b/>
          <w:sz w:val="18"/>
          <w:szCs w:val="18"/>
          <w:u w:val="single"/>
        </w:rPr>
      </w:pPr>
      <w:r w:rsidRPr="009073A0">
        <w:rPr>
          <w:rFonts w:ascii="Arial" w:hAnsi="Arial" w:cs="Arial"/>
          <w:b/>
          <w:sz w:val="18"/>
          <w:szCs w:val="18"/>
          <w:u w:val="single"/>
        </w:rPr>
        <w:t>Myalept</w:t>
      </w:r>
      <w:r w:rsidR="00575A28">
        <w:rPr>
          <w:rFonts w:ascii="Arial" w:hAnsi="Arial" w:cs="Arial"/>
          <w:b/>
          <w:sz w:val="18"/>
          <w:szCs w:val="18"/>
          <w:u w:val="single"/>
        </w:rPr>
        <w:t>™</w:t>
      </w:r>
      <w:r w:rsidRPr="009073A0">
        <w:rPr>
          <w:rFonts w:ascii="Arial" w:hAnsi="Arial" w:cs="Arial"/>
          <w:b/>
          <w:sz w:val="18"/>
          <w:szCs w:val="18"/>
          <w:u w:val="single"/>
        </w:rPr>
        <w:t xml:space="preserve"> (metreleptin) 11.3 mg (5 mg/ml) vial for injection: </w:t>
      </w:r>
    </w:p>
    <w:p w:rsidR="009073A0" w:rsidRPr="009073A0" w:rsidRDefault="00BC7698" w:rsidP="009073A0">
      <w:pPr>
        <w:pStyle w:val="ListParagraph"/>
        <w:ind w:left="1440"/>
        <w:rPr>
          <w:rFonts w:ascii="Arial" w:hAnsi="Arial" w:cs="Arial"/>
          <w:sz w:val="18"/>
          <w:szCs w:val="18"/>
        </w:rPr>
      </w:pPr>
      <w:r w:rsidRPr="00BC7698">
        <w:rPr>
          <w:rFonts w:ascii="Arial" w:hAnsi="Arial" w:cs="Arial"/>
          <w:b/>
          <w:sz w:val="18"/>
          <w:szCs w:val="18"/>
        </w:rPr>
        <w:t>Myalept™</w:t>
      </w:r>
      <w:r w:rsidR="009073A0" w:rsidRPr="009073A0">
        <w:rPr>
          <w:rFonts w:ascii="Arial" w:hAnsi="Arial" w:cs="Arial"/>
          <w:sz w:val="18"/>
          <w:szCs w:val="18"/>
        </w:rPr>
        <w:t xml:space="preserve"> (metreleptin) for injection is indicated as an adjunct to diet as replacement therapy to treat</w:t>
      </w:r>
      <w:r w:rsidR="00575A28">
        <w:rPr>
          <w:rFonts w:ascii="Arial" w:hAnsi="Arial" w:cs="Arial"/>
          <w:sz w:val="18"/>
          <w:szCs w:val="18"/>
        </w:rPr>
        <w:t xml:space="preserve"> </w:t>
      </w:r>
      <w:r w:rsidR="009073A0" w:rsidRPr="009073A0">
        <w:rPr>
          <w:rFonts w:ascii="Arial" w:hAnsi="Arial" w:cs="Arial"/>
          <w:sz w:val="18"/>
          <w:szCs w:val="18"/>
        </w:rPr>
        <w:t>the complications of leptin deficiency in patients with congenital or acquired generalized lipodystrophy.</w:t>
      </w:r>
      <w:r w:rsidR="00194DEC">
        <w:rPr>
          <w:rFonts w:ascii="Arial" w:hAnsi="Arial" w:cs="Arial"/>
          <w:sz w:val="18"/>
          <w:szCs w:val="18"/>
        </w:rPr>
        <w:t xml:space="preserve">  </w:t>
      </w:r>
      <w:r w:rsidRPr="00BC7698">
        <w:rPr>
          <w:rFonts w:ascii="Arial" w:hAnsi="Arial" w:cs="Arial"/>
          <w:b/>
          <w:sz w:val="18"/>
          <w:szCs w:val="18"/>
        </w:rPr>
        <w:t>Myalept™</w:t>
      </w:r>
      <w:r w:rsidR="00194DEC" w:rsidRPr="00194DEC">
        <w:rPr>
          <w:rFonts w:ascii="Arial" w:hAnsi="Arial" w:cs="Arial"/>
          <w:sz w:val="18"/>
          <w:szCs w:val="18"/>
        </w:rPr>
        <w:t xml:space="preserve"> should be administered once daily at the same time every day.</w:t>
      </w:r>
    </w:p>
    <w:p w:rsidR="009073A0" w:rsidRPr="009073A0" w:rsidRDefault="009073A0" w:rsidP="009073A0">
      <w:pPr>
        <w:pStyle w:val="ListParagraph"/>
        <w:ind w:left="1440"/>
        <w:rPr>
          <w:rFonts w:ascii="Arial" w:hAnsi="Arial" w:cs="Arial"/>
          <w:sz w:val="18"/>
          <w:szCs w:val="18"/>
        </w:rPr>
      </w:pPr>
    </w:p>
    <w:p w:rsidR="009073A0" w:rsidRPr="009073A0" w:rsidRDefault="009073A0" w:rsidP="009073A0">
      <w:pPr>
        <w:pStyle w:val="ListParagraph"/>
        <w:ind w:left="1440"/>
        <w:rPr>
          <w:rFonts w:ascii="Arial" w:hAnsi="Arial" w:cs="Arial"/>
          <w:sz w:val="18"/>
          <w:szCs w:val="18"/>
        </w:rPr>
      </w:pPr>
      <w:r w:rsidRPr="009073A0">
        <w:rPr>
          <w:rFonts w:ascii="Arial" w:hAnsi="Arial" w:cs="Arial"/>
          <w:sz w:val="18"/>
          <w:szCs w:val="18"/>
        </w:rPr>
        <w:t>Limitations of Use</w:t>
      </w:r>
    </w:p>
    <w:p w:rsidR="009073A0" w:rsidRPr="009073A0" w:rsidRDefault="009073A0" w:rsidP="00575A28">
      <w:pPr>
        <w:pStyle w:val="ListParagraph"/>
        <w:numPr>
          <w:ilvl w:val="0"/>
          <w:numId w:val="30"/>
        </w:numPr>
        <w:rPr>
          <w:rFonts w:ascii="Arial" w:hAnsi="Arial" w:cs="Arial"/>
          <w:sz w:val="18"/>
          <w:szCs w:val="18"/>
        </w:rPr>
      </w:pPr>
      <w:r w:rsidRPr="009073A0">
        <w:rPr>
          <w:rFonts w:ascii="Arial" w:hAnsi="Arial" w:cs="Arial"/>
          <w:sz w:val="18"/>
          <w:szCs w:val="18"/>
        </w:rPr>
        <w:t xml:space="preserve">The safety and effectiveness of </w:t>
      </w:r>
      <w:r w:rsidR="00BC7698" w:rsidRPr="00BC7698">
        <w:rPr>
          <w:rFonts w:ascii="Arial" w:hAnsi="Arial" w:cs="Arial"/>
          <w:b/>
          <w:sz w:val="18"/>
          <w:szCs w:val="18"/>
        </w:rPr>
        <w:t>Myalept™</w:t>
      </w:r>
      <w:r w:rsidRPr="009073A0">
        <w:rPr>
          <w:rFonts w:ascii="Arial" w:hAnsi="Arial" w:cs="Arial"/>
          <w:sz w:val="18"/>
          <w:szCs w:val="18"/>
        </w:rPr>
        <w:t xml:space="preserve"> for the treatment of complications of partial lipodystrophy have not been established.</w:t>
      </w:r>
    </w:p>
    <w:p w:rsidR="009073A0" w:rsidRPr="009073A0" w:rsidRDefault="009073A0" w:rsidP="00575A28">
      <w:pPr>
        <w:pStyle w:val="ListParagraph"/>
        <w:numPr>
          <w:ilvl w:val="0"/>
          <w:numId w:val="30"/>
        </w:numPr>
        <w:rPr>
          <w:rFonts w:ascii="Arial" w:hAnsi="Arial" w:cs="Arial"/>
          <w:sz w:val="18"/>
          <w:szCs w:val="18"/>
        </w:rPr>
      </w:pPr>
      <w:r w:rsidRPr="009073A0">
        <w:rPr>
          <w:rFonts w:ascii="Arial" w:hAnsi="Arial" w:cs="Arial"/>
          <w:sz w:val="18"/>
          <w:szCs w:val="18"/>
        </w:rPr>
        <w:t xml:space="preserve">The safety and effectiveness of </w:t>
      </w:r>
      <w:r w:rsidR="00BC7698" w:rsidRPr="00BC7698">
        <w:rPr>
          <w:rFonts w:ascii="Arial" w:hAnsi="Arial" w:cs="Arial"/>
          <w:b/>
          <w:sz w:val="18"/>
          <w:szCs w:val="18"/>
        </w:rPr>
        <w:t>Myalept™</w:t>
      </w:r>
      <w:r w:rsidRPr="009073A0">
        <w:rPr>
          <w:rFonts w:ascii="Arial" w:hAnsi="Arial" w:cs="Arial"/>
          <w:sz w:val="18"/>
          <w:szCs w:val="18"/>
        </w:rPr>
        <w:t xml:space="preserve"> for the treatment of liver disease, including nonalcoholic steatohepatitis (NASH), have not been established.</w:t>
      </w:r>
    </w:p>
    <w:p w:rsidR="009073A0" w:rsidRPr="009073A0" w:rsidRDefault="00BC7698" w:rsidP="00575A28">
      <w:pPr>
        <w:pStyle w:val="ListParagraph"/>
        <w:numPr>
          <w:ilvl w:val="0"/>
          <w:numId w:val="30"/>
        </w:numPr>
        <w:rPr>
          <w:rFonts w:ascii="Arial" w:hAnsi="Arial" w:cs="Arial"/>
          <w:sz w:val="18"/>
          <w:szCs w:val="18"/>
        </w:rPr>
      </w:pPr>
      <w:r w:rsidRPr="00BC7698">
        <w:rPr>
          <w:rFonts w:ascii="Arial" w:hAnsi="Arial" w:cs="Arial"/>
          <w:b/>
          <w:sz w:val="18"/>
          <w:szCs w:val="18"/>
        </w:rPr>
        <w:t>Myalept™</w:t>
      </w:r>
      <w:r w:rsidR="009073A0" w:rsidRPr="009073A0">
        <w:rPr>
          <w:rFonts w:ascii="Arial" w:hAnsi="Arial" w:cs="Arial"/>
          <w:sz w:val="18"/>
          <w:szCs w:val="18"/>
        </w:rPr>
        <w:t xml:space="preserve"> is not indicated for use in patients with HIV-related lipodystrophy.</w:t>
      </w:r>
    </w:p>
    <w:p w:rsidR="009073A0" w:rsidRDefault="00BC7698" w:rsidP="00575A28">
      <w:pPr>
        <w:pStyle w:val="ListParagraph"/>
        <w:numPr>
          <w:ilvl w:val="0"/>
          <w:numId w:val="30"/>
        </w:numPr>
        <w:rPr>
          <w:rFonts w:ascii="Arial" w:hAnsi="Arial" w:cs="Arial"/>
          <w:sz w:val="18"/>
          <w:szCs w:val="18"/>
        </w:rPr>
      </w:pPr>
      <w:r w:rsidRPr="00BC7698">
        <w:rPr>
          <w:rFonts w:ascii="Arial" w:hAnsi="Arial" w:cs="Arial"/>
          <w:b/>
          <w:sz w:val="18"/>
          <w:szCs w:val="18"/>
        </w:rPr>
        <w:t>Myalept™</w:t>
      </w:r>
      <w:r w:rsidR="009073A0" w:rsidRPr="009073A0">
        <w:rPr>
          <w:rFonts w:ascii="Arial" w:hAnsi="Arial" w:cs="Arial"/>
          <w:sz w:val="18"/>
          <w:szCs w:val="18"/>
        </w:rPr>
        <w:t xml:space="preserve"> is not indicated for use in patients with metabolic disease, including diabetes mellitus and hypertriglyceridemia, without concurrent evidence of congenital or acquired generalized lipodystrophy.</w:t>
      </w:r>
    </w:p>
    <w:p w:rsidR="00575A28" w:rsidRDefault="00575A28" w:rsidP="00575A28">
      <w:pPr>
        <w:ind w:left="1440"/>
        <w:rPr>
          <w:rFonts w:ascii="Arial" w:hAnsi="Arial" w:cs="Arial"/>
          <w:sz w:val="18"/>
          <w:szCs w:val="18"/>
        </w:rPr>
      </w:pPr>
    </w:p>
    <w:p w:rsidR="00575A28" w:rsidRDefault="00575A28" w:rsidP="00575A28">
      <w:pPr>
        <w:ind w:left="1440"/>
        <w:rPr>
          <w:rFonts w:ascii="Arial" w:hAnsi="Arial" w:cs="Arial"/>
          <w:sz w:val="18"/>
          <w:szCs w:val="18"/>
        </w:rPr>
      </w:pPr>
      <w:r>
        <w:rPr>
          <w:rFonts w:ascii="Arial" w:hAnsi="Arial" w:cs="Arial"/>
          <w:sz w:val="18"/>
          <w:szCs w:val="18"/>
        </w:rPr>
        <w:t xml:space="preserve">The reimbursement rate for </w:t>
      </w:r>
      <w:r w:rsidR="00BC7698" w:rsidRPr="00BC7698">
        <w:rPr>
          <w:rFonts w:ascii="Arial" w:hAnsi="Arial" w:cs="Arial"/>
          <w:b/>
          <w:sz w:val="18"/>
          <w:szCs w:val="18"/>
        </w:rPr>
        <w:t>Myalept™</w:t>
      </w:r>
      <w:r>
        <w:rPr>
          <w:rFonts w:ascii="Arial" w:hAnsi="Arial" w:cs="Arial"/>
          <w:sz w:val="18"/>
          <w:szCs w:val="18"/>
        </w:rPr>
        <w:t xml:space="preserve"> injection is </w:t>
      </w:r>
      <w:r w:rsidR="00194DEC">
        <w:rPr>
          <w:rFonts w:ascii="Arial" w:hAnsi="Arial" w:cs="Arial"/>
          <w:sz w:val="18"/>
          <w:szCs w:val="18"/>
        </w:rPr>
        <w:t>$1,519.10 for each 11.3 mg vial, or $47,09</w:t>
      </w:r>
      <w:r w:rsidR="002D0FCA">
        <w:rPr>
          <w:rFonts w:ascii="Arial" w:hAnsi="Arial" w:cs="Arial"/>
          <w:sz w:val="18"/>
          <w:szCs w:val="18"/>
        </w:rPr>
        <w:t>2.23</w:t>
      </w:r>
      <w:r w:rsidR="00194DEC">
        <w:rPr>
          <w:rFonts w:ascii="Arial" w:hAnsi="Arial" w:cs="Arial"/>
          <w:sz w:val="18"/>
          <w:szCs w:val="18"/>
        </w:rPr>
        <w:t xml:space="preserve"> for 31 day supply.</w:t>
      </w:r>
    </w:p>
    <w:p w:rsidR="00575A28" w:rsidRDefault="00575A28" w:rsidP="00575A28">
      <w:pPr>
        <w:ind w:left="1440"/>
        <w:rPr>
          <w:rFonts w:ascii="Arial" w:hAnsi="Arial" w:cs="Arial"/>
          <w:sz w:val="18"/>
          <w:szCs w:val="18"/>
        </w:rPr>
      </w:pPr>
    </w:p>
    <w:p w:rsidR="00575A28" w:rsidRDefault="00575A28" w:rsidP="00575A28">
      <w:pPr>
        <w:ind w:left="1440"/>
        <w:rPr>
          <w:rFonts w:ascii="Arial" w:hAnsi="Arial" w:cs="Arial"/>
          <w:sz w:val="18"/>
          <w:szCs w:val="18"/>
        </w:rPr>
      </w:pPr>
      <w:r w:rsidRPr="00464DAF">
        <w:rPr>
          <w:rFonts w:ascii="Arial" w:hAnsi="Arial" w:cs="Arial"/>
          <w:sz w:val="18"/>
          <w:szCs w:val="18"/>
        </w:rPr>
        <w:t>Manual Review PA will be required for all requests</w:t>
      </w:r>
      <w:r>
        <w:rPr>
          <w:rFonts w:ascii="Arial" w:hAnsi="Arial" w:cs="Arial"/>
          <w:sz w:val="18"/>
          <w:szCs w:val="18"/>
        </w:rPr>
        <w:t xml:space="preserve"> for </w:t>
      </w:r>
      <w:r w:rsidR="00BC7698" w:rsidRPr="00BC7698">
        <w:rPr>
          <w:rFonts w:ascii="Arial" w:hAnsi="Arial" w:cs="Arial"/>
          <w:b/>
          <w:sz w:val="18"/>
          <w:szCs w:val="18"/>
        </w:rPr>
        <w:t>Myalept™</w:t>
      </w:r>
      <w:r>
        <w:rPr>
          <w:rFonts w:ascii="Arial" w:hAnsi="Arial" w:cs="Arial"/>
          <w:sz w:val="18"/>
          <w:szCs w:val="18"/>
        </w:rPr>
        <w:t xml:space="preserve"> and</w:t>
      </w:r>
      <w:r w:rsidRPr="00464DAF">
        <w:rPr>
          <w:rFonts w:ascii="Arial" w:hAnsi="Arial" w:cs="Arial"/>
          <w:sz w:val="18"/>
          <w:szCs w:val="18"/>
        </w:rPr>
        <w:t xml:space="preserve"> will be reviewed on a case-by-case basis</w:t>
      </w:r>
      <w:r>
        <w:rPr>
          <w:rFonts w:ascii="Arial" w:hAnsi="Arial" w:cs="Arial"/>
          <w:sz w:val="18"/>
          <w:szCs w:val="18"/>
        </w:rPr>
        <w:t>.</w:t>
      </w:r>
    </w:p>
    <w:p w:rsidR="00575A28" w:rsidRPr="00575A28" w:rsidRDefault="00575A28" w:rsidP="00575A28">
      <w:pPr>
        <w:ind w:left="1440"/>
        <w:rPr>
          <w:rFonts w:ascii="Arial" w:hAnsi="Arial" w:cs="Arial"/>
          <w:sz w:val="18"/>
          <w:szCs w:val="18"/>
        </w:rPr>
      </w:pPr>
    </w:p>
    <w:p w:rsidR="00575A28" w:rsidRDefault="00575A28" w:rsidP="00575A28">
      <w:pPr>
        <w:pStyle w:val="ListParagraph"/>
        <w:tabs>
          <w:tab w:val="left" w:pos="1095"/>
        </w:tabs>
        <w:ind w:left="1080"/>
        <w:rPr>
          <w:rFonts w:ascii="Arial" w:hAnsi="Arial" w:cs="Arial"/>
          <w:b/>
          <w:sz w:val="18"/>
          <w:szCs w:val="18"/>
        </w:rPr>
      </w:pP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Pr="00464DAF">
        <w:rPr>
          <w:rFonts w:ascii="Arial" w:hAnsi="Arial" w:cs="Arial"/>
          <w:b/>
          <w:sz w:val="18"/>
          <w:szCs w:val="18"/>
        </w:rPr>
        <w:t xml:space="preserve">.  </w:t>
      </w:r>
    </w:p>
    <w:p w:rsidR="009073A0" w:rsidRDefault="009073A0" w:rsidP="009073A0">
      <w:pPr>
        <w:rPr>
          <w:rFonts w:ascii="Arial" w:hAnsi="Arial" w:cs="Arial"/>
          <w:b/>
          <w:sz w:val="18"/>
          <w:szCs w:val="18"/>
        </w:rPr>
      </w:pPr>
    </w:p>
    <w:p w:rsidR="00575A28" w:rsidRDefault="00575A28" w:rsidP="009073A0">
      <w:pPr>
        <w:rPr>
          <w:rFonts w:ascii="Arial" w:hAnsi="Arial" w:cs="Arial"/>
          <w:b/>
          <w:sz w:val="18"/>
          <w:szCs w:val="18"/>
        </w:rPr>
      </w:pPr>
    </w:p>
    <w:p w:rsidR="00575A28" w:rsidRDefault="0096170D" w:rsidP="00575A28">
      <w:pPr>
        <w:pStyle w:val="ListParagraph"/>
        <w:numPr>
          <w:ilvl w:val="1"/>
          <w:numId w:val="6"/>
        </w:numPr>
        <w:rPr>
          <w:rFonts w:ascii="Arial" w:hAnsi="Arial" w:cs="Arial"/>
          <w:b/>
          <w:sz w:val="18"/>
          <w:szCs w:val="18"/>
          <w:u w:val="single"/>
        </w:rPr>
      </w:pPr>
      <w:r>
        <w:rPr>
          <w:rFonts w:ascii="Arial" w:hAnsi="Arial" w:cs="Arial"/>
          <w:b/>
          <w:sz w:val="18"/>
          <w:szCs w:val="18"/>
          <w:u w:val="single"/>
        </w:rPr>
        <w:t>Hetlioz™ (tasimelteon) 20</w:t>
      </w:r>
      <w:r w:rsidR="00575A28" w:rsidRPr="00575A28">
        <w:rPr>
          <w:rFonts w:ascii="Arial" w:hAnsi="Arial" w:cs="Arial"/>
          <w:b/>
          <w:sz w:val="18"/>
          <w:szCs w:val="18"/>
          <w:u w:val="single"/>
        </w:rPr>
        <w:t xml:space="preserve"> mg oral capsule:</w:t>
      </w:r>
    </w:p>
    <w:p w:rsidR="00575A28" w:rsidRDefault="00BC7698" w:rsidP="00575A28">
      <w:pPr>
        <w:pStyle w:val="ListParagraph"/>
        <w:ind w:left="1440"/>
        <w:rPr>
          <w:rFonts w:ascii="Arial" w:hAnsi="Arial" w:cs="Arial"/>
          <w:sz w:val="18"/>
          <w:szCs w:val="18"/>
        </w:rPr>
      </w:pPr>
      <w:r w:rsidRPr="00BC7698">
        <w:rPr>
          <w:rFonts w:ascii="Arial" w:hAnsi="Arial" w:cs="Arial"/>
          <w:b/>
          <w:sz w:val="18"/>
          <w:szCs w:val="18"/>
        </w:rPr>
        <w:t>Hetlioz™</w:t>
      </w:r>
      <w:r w:rsidR="00575A28" w:rsidRPr="00575A28">
        <w:rPr>
          <w:rFonts w:ascii="Arial" w:hAnsi="Arial" w:cs="Arial"/>
          <w:sz w:val="18"/>
          <w:szCs w:val="18"/>
        </w:rPr>
        <w:t xml:space="preserve"> is a melatonin receptor agonist indicated for the treatment of Non-24-Hour Sleep-Wake Disorder</w:t>
      </w:r>
      <w:r w:rsidR="00575A28">
        <w:rPr>
          <w:rFonts w:ascii="Arial" w:hAnsi="Arial" w:cs="Arial"/>
          <w:sz w:val="18"/>
          <w:szCs w:val="18"/>
        </w:rPr>
        <w:t xml:space="preserve">.  </w:t>
      </w:r>
      <w:r w:rsidR="00575A28" w:rsidRPr="00575A28">
        <w:rPr>
          <w:rFonts w:ascii="Arial" w:hAnsi="Arial" w:cs="Arial"/>
          <w:sz w:val="18"/>
          <w:szCs w:val="18"/>
        </w:rPr>
        <w:t xml:space="preserve">The recommended dosage of </w:t>
      </w:r>
      <w:r w:rsidRPr="00BC7698">
        <w:rPr>
          <w:rFonts w:ascii="Arial" w:hAnsi="Arial" w:cs="Arial"/>
          <w:b/>
          <w:sz w:val="18"/>
          <w:szCs w:val="18"/>
        </w:rPr>
        <w:t>Hetlioz™</w:t>
      </w:r>
      <w:r w:rsidR="00575A28" w:rsidRPr="00575A28">
        <w:rPr>
          <w:rFonts w:ascii="Arial" w:hAnsi="Arial" w:cs="Arial"/>
          <w:sz w:val="18"/>
          <w:szCs w:val="18"/>
        </w:rPr>
        <w:t xml:space="preserve"> is 20 mg per day taken before bedtime, at the same time every night. </w:t>
      </w:r>
      <w:r w:rsidR="00575A28">
        <w:rPr>
          <w:rFonts w:ascii="Arial" w:hAnsi="Arial" w:cs="Arial"/>
          <w:sz w:val="18"/>
          <w:szCs w:val="18"/>
        </w:rPr>
        <w:t xml:space="preserve">  </w:t>
      </w:r>
      <w:r w:rsidR="00575A28" w:rsidRPr="00575A28">
        <w:rPr>
          <w:rFonts w:ascii="Arial" w:hAnsi="Arial" w:cs="Arial"/>
          <w:sz w:val="18"/>
          <w:szCs w:val="18"/>
        </w:rPr>
        <w:t xml:space="preserve">Because of individual differences in circadian rhythms, drug effect may not occur for weeks or months.  </w:t>
      </w:r>
    </w:p>
    <w:p w:rsidR="00575A28" w:rsidRDefault="00575A28" w:rsidP="00575A28">
      <w:pPr>
        <w:pStyle w:val="ListParagraph"/>
        <w:ind w:left="1440"/>
        <w:rPr>
          <w:rFonts w:ascii="Arial" w:hAnsi="Arial" w:cs="Arial"/>
          <w:sz w:val="18"/>
          <w:szCs w:val="18"/>
        </w:rPr>
      </w:pPr>
    </w:p>
    <w:p w:rsidR="00575A28" w:rsidRDefault="00575A28" w:rsidP="00575A28">
      <w:pPr>
        <w:pStyle w:val="ListParagraph"/>
        <w:ind w:left="1440"/>
        <w:rPr>
          <w:rFonts w:ascii="Arial" w:hAnsi="Arial" w:cs="Arial"/>
          <w:sz w:val="18"/>
          <w:szCs w:val="18"/>
        </w:rPr>
      </w:pPr>
      <w:r>
        <w:rPr>
          <w:rFonts w:ascii="Arial" w:hAnsi="Arial" w:cs="Arial"/>
          <w:sz w:val="18"/>
          <w:szCs w:val="18"/>
        </w:rPr>
        <w:t xml:space="preserve">The reimbursement rate is </w:t>
      </w:r>
      <w:r w:rsidRPr="00575A28">
        <w:rPr>
          <w:rFonts w:ascii="Arial" w:hAnsi="Arial" w:cs="Arial"/>
          <w:sz w:val="18"/>
          <w:szCs w:val="18"/>
        </w:rPr>
        <w:t>$241.46 each capsule</w:t>
      </w:r>
      <w:r>
        <w:rPr>
          <w:rFonts w:ascii="Arial" w:hAnsi="Arial" w:cs="Arial"/>
          <w:sz w:val="18"/>
          <w:szCs w:val="18"/>
        </w:rPr>
        <w:t xml:space="preserve">, or </w:t>
      </w:r>
      <w:r w:rsidRPr="00575A28">
        <w:rPr>
          <w:rFonts w:ascii="Arial" w:hAnsi="Arial" w:cs="Arial"/>
          <w:sz w:val="18"/>
          <w:szCs w:val="18"/>
        </w:rPr>
        <w:t>$7</w:t>
      </w:r>
      <w:r>
        <w:rPr>
          <w:rFonts w:ascii="Arial" w:hAnsi="Arial" w:cs="Arial"/>
          <w:sz w:val="18"/>
          <w:szCs w:val="18"/>
        </w:rPr>
        <w:t>,</w:t>
      </w:r>
      <w:r w:rsidRPr="00575A28">
        <w:rPr>
          <w:rFonts w:ascii="Arial" w:hAnsi="Arial" w:cs="Arial"/>
          <w:sz w:val="18"/>
          <w:szCs w:val="18"/>
        </w:rPr>
        <w:t>485.</w:t>
      </w:r>
      <w:r w:rsidR="002D0FCA">
        <w:rPr>
          <w:rFonts w:ascii="Arial" w:hAnsi="Arial" w:cs="Arial"/>
          <w:sz w:val="18"/>
          <w:szCs w:val="18"/>
        </w:rPr>
        <w:t>33</w:t>
      </w:r>
      <w:r>
        <w:rPr>
          <w:rFonts w:ascii="Arial" w:hAnsi="Arial" w:cs="Arial"/>
          <w:sz w:val="18"/>
          <w:szCs w:val="18"/>
        </w:rPr>
        <w:t xml:space="preserve"> for a</w:t>
      </w:r>
      <w:r w:rsidRPr="00575A28">
        <w:rPr>
          <w:rFonts w:ascii="Arial" w:hAnsi="Arial" w:cs="Arial"/>
          <w:sz w:val="18"/>
          <w:szCs w:val="18"/>
        </w:rPr>
        <w:t xml:space="preserve"> 31-day supply</w:t>
      </w:r>
      <w:r>
        <w:rPr>
          <w:rFonts w:ascii="Arial" w:hAnsi="Arial" w:cs="Arial"/>
          <w:sz w:val="18"/>
          <w:szCs w:val="18"/>
        </w:rPr>
        <w:t xml:space="preserve">. </w:t>
      </w:r>
      <w:r w:rsidRPr="00575A28">
        <w:rPr>
          <w:rFonts w:ascii="Arial" w:hAnsi="Arial" w:cs="Arial"/>
          <w:sz w:val="18"/>
          <w:szCs w:val="18"/>
        </w:rPr>
        <w:t xml:space="preserve"> </w:t>
      </w:r>
    </w:p>
    <w:p w:rsidR="00575A28" w:rsidRDefault="00575A28" w:rsidP="00575A28">
      <w:pPr>
        <w:ind w:left="1440"/>
        <w:rPr>
          <w:rFonts w:ascii="Arial" w:hAnsi="Arial" w:cs="Arial"/>
          <w:sz w:val="18"/>
          <w:szCs w:val="18"/>
        </w:rPr>
      </w:pPr>
    </w:p>
    <w:p w:rsidR="00575A28" w:rsidRDefault="00575A28" w:rsidP="00575A28">
      <w:pPr>
        <w:ind w:left="1440"/>
        <w:rPr>
          <w:rFonts w:ascii="Arial" w:hAnsi="Arial" w:cs="Arial"/>
          <w:sz w:val="18"/>
          <w:szCs w:val="18"/>
        </w:rPr>
      </w:pPr>
      <w:r w:rsidRPr="00464DAF">
        <w:rPr>
          <w:rFonts w:ascii="Arial" w:hAnsi="Arial" w:cs="Arial"/>
          <w:sz w:val="18"/>
          <w:szCs w:val="18"/>
        </w:rPr>
        <w:t>Manual Review PA will be required for all requests</w:t>
      </w:r>
      <w:r>
        <w:rPr>
          <w:rFonts w:ascii="Arial" w:hAnsi="Arial" w:cs="Arial"/>
          <w:sz w:val="18"/>
          <w:szCs w:val="18"/>
        </w:rPr>
        <w:t xml:space="preserve"> for </w:t>
      </w:r>
      <w:r w:rsidR="00BC7698" w:rsidRPr="00BC7698">
        <w:rPr>
          <w:rFonts w:ascii="Arial" w:hAnsi="Arial" w:cs="Arial"/>
          <w:b/>
          <w:sz w:val="18"/>
          <w:szCs w:val="18"/>
        </w:rPr>
        <w:t>Hetlioz™</w:t>
      </w:r>
      <w:r>
        <w:rPr>
          <w:rFonts w:ascii="Arial" w:hAnsi="Arial" w:cs="Arial"/>
          <w:sz w:val="18"/>
          <w:szCs w:val="18"/>
        </w:rPr>
        <w:t xml:space="preserve"> and</w:t>
      </w:r>
      <w:r w:rsidRPr="00464DAF">
        <w:rPr>
          <w:rFonts w:ascii="Arial" w:hAnsi="Arial" w:cs="Arial"/>
          <w:sz w:val="18"/>
          <w:szCs w:val="18"/>
        </w:rPr>
        <w:t xml:space="preserve"> will be reviewed on a case-by-case basis</w:t>
      </w:r>
      <w:r>
        <w:rPr>
          <w:rFonts w:ascii="Arial" w:hAnsi="Arial" w:cs="Arial"/>
          <w:sz w:val="18"/>
          <w:szCs w:val="18"/>
        </w:rPr>
        <w:t>.</w:t>
      </w:r>
    </w:p>
    <w:p w:rsidR="00575A28" w:rsidRPr="00575A28" w:rsidRDefault="00575A28" w:rsidP="00575A28">
      <w:pPr>
        <w:pStyle w:val="ListParagraph"/>
        <w:ind w:left="1440"/>
        <w:rPr>
          <w:rFonts w:ascii="Arial" w:hAnsi="Arial" w:cs="Arial"/>
          <w:sz w:val="18"/>
          <w:szCs w:val="18"/>
        </w:rPr>
      </w:pPr>
    </w:p>
    <w:p w:rsidR="00614A66" w:rsidRDefault="00575A28" w:rsidP="00575A28">
      <w:pPr>
        <w:pStyle w:val="ListParagraph"/>
        <w:tabs>
          <w:tab w:val="left" w:pos="1095"/>
        </w:tabs>
        <w:ind w:left="1080"/>
        <w:rPr>
          <w:rFonts w:ascii="Arial" w:hAnsi="Arial" w:cs="Arial"/>
          <w:b/>
          <w:sz w:val="18"/>
          <w:szCs w:val="18"/>
        </w:rPr>
      </w:pP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Pr="00464DAF">
        <w:rPr>
          <w:rFonts w:ascii="Arial" w:hAnsi="Arial" w:cs="Arial"/>
          <w:b/>
          <w:sz w:val="18"/>
          <w:szCs w:val="18"/>
        </w:rPr>
        <w:t xml:space="preserve">.  </w:t>
      </w:r>
    </w:p>
    <w:p w:rsidR="00614A66" w:rsidRDefault="00614A66">
      <w:pPr>
        <w:spacing w:after="200" w:line="276" w:lineRule="auto"/>
        <w:rPr>
          <w:rFonts w:ascii="Arial" w:hAnsi="Arial" w:cs="Arial"/>
          <w:b/>
          <w:sz w:val="18"/>
          <w:szCs w:val="18"/>
        </w:rPr>
      </w:pPr>
      <w:r>
        <w:rPr>
          <w:rFonts w:ascii="Arial" w:hAnsi="Arial" w:cs="Arial"/>
          <w:b/>
          <w:sz w:val="18"/>
          <w:szCs w:val="18"/>
        </w:rPr>
        <w:br w:type="page"/>
      </w:r>
    </w:p>
    <w:p w:rsidR="00194DEC" w:rsidRDefault="004A5E69" w:rsidP="004A5E69">
      <w:pPr>
        <w:pStyle w:val="ListParagraph"/>
        <w:numPr>
          <w:ilvl w:val="1"/>
          <w:numId w:val="6"/>
        </w:numPr>
        <w:rPr>
          <w:rFonts w:ascii="Arial" w:hAnsi="Arial" w:cs="Arial"/>
          <w:b/>
          <w:sz w:val="18"/>
          <w:szCs w:val="18"/>
          <w:u w:val="single"/>
        </w:rPr>
      </w:pPr>
      <w:r w:rsidRPr="004A5E69">
        <w:rPr>
          <w:rFonts w:ascii="Arial" w:hAnsi="Arial" w:cs="Arial"/>
          <w:b/>
          <w:sz w:val="18"/>
          <w:szCs w:val="18"/>
          <w:u w:val="single"/>
        </w:rPr>
        <w:t>Orfadin® (nitisinone) oral capsule</w:t>
      </w:r>
      <w:r w:rsidR="000D1C32">
        <w:rPr>
          <w:rFonts w:ascii="Arial" w:hAnsi="Arial" w:cs="Arial"/>
          <w:b/>
          <w:sz w:val="18"/>
          <w:szCs w:val="18"/>
          <w:u w:val="single"/>
        </w:rPr>
        <w:t>s</w:t>
      </w:r>
      <w:r w:rsidRPr="004A5E69">
        <w:rPr>
          <w:rFonts w:ascii="Arial" w:hAnsi="Arial" w:cs="Arial"/>
          <w:b/>
          <w:sz w:val="18"/>
          <w:szCs w:val="18"/>
          <w:u w:val="single"/>
        </w:rPr>
        <w:t xml:space="preserve"> 2 mg, 5 mg</w:t>
      </w:r>
      <w:r>
        <w:rPr>
          <w:rFonts w:ascii="Arial" w:hAnsi="Arial" w:cs="Arial"/>
          <w:b/>
          <w:sz w:val="18"/>
          <w:szCs w:val="18"/>
          <w:u w:val="single"/>
        </w:rPr>
        <w:t>, 10  mg:</w:t>
      </w:r>
    </w:p>
    <w:p w:rsidR="004A5E69" w:rsidRPr="004A5E69" w:rsidRDefault="00BC7698" w:rsidP="004A5E69">
      <w:pPr>
        <w:pStyle w:val="ListParagraph"/>
        <w:ind w:left="1440"/>
        <w:rPr>
          <w:rFonts w:ascii="Arial" w:hAnsi="Arial" w:cs="Arial"/>
          <w:sz w:val="18"/>
          <w:szCs w:val="18"/>
        </w:rPr>
      </w:pPr>
      <w:r w:rsidRPr="00BC7698">
        <w:rPr>
          <w:rFonts w:ascii="Arial" w:hAnsi="Arial" w:cs="Arial"/>
          <w:b/>
          <w:sz w:val="18"/>
          <w:szCs w:val="18"/>
        </w:rPr>
        <w:t>Orfadin®</w:t>
      </w:r>
      <w:r w:rsidR="004A5E69" w:rsidRPr="004A5E69">
        <w:rPr>
          <w:rFonts w:ascii="Arial" w:hAnsi="Arial" w:cs="Arial"/>
          <w:sz w:val="18"/>
          <w:szCs w:val="18"/>
        </w:rPr>
        <w:t xml:space="preserve"> capsules (nitisinone) are indicated as an adjunct to dietary restriction of tyrosine and</w:t>
      </w:r>
    </w:p>
    <w:p w:rsidR="004A5E69" w:rsidRPr="004A5E69" w:rsidRDefault="004A5E69" w:rsidP="004A5E69">
      <w:pPr>
        <w:pStyle w:val="ListParagraph"/>
        <w:ind w:left="1440"/>
        <w:rPr>
          <w:rFonts w:ascii="Arial" w:hAnsi="Arial" w:cs="Arial"/>
          <w:sz w:val="18"/>
          <w:szCs w:val="18"/>
        </w:rPr>
      </w:pPr>
      <w:r w:rsidRPr="004A5E69">
        <w:rPr>
          <w:rFonts w:ascii="Arial" w:hAnsi="Arial" w:cs="Arial"/>
          <w:sz w:val="18"/>
          <w:szCs w:val="18"/>
        </w:rPr>
        <w:t>phenylalanine in the treatment of hereditary tyrosinemia type 1 (HT-1).</w:t>
      </w:r>
      <w:r>
        <w:rPr>
          <w:rFonts w:ascii="Arial" w:hAnsi="Arial" w:cs="Arial"/>
          <w:sz w:val="18"/>
          <w:szCs w:val="18"/>
        </w:rPr>
        <w:t xml:space="preserve"> </w:t>
      </w:r>
      <w:r w:rsidR="00BC7698" w:rsidRPr="00BC7698">
        <w:rPr>
          <w:rFonts w:ascii="Arial" w:hAnsi="Arial" w:cs="Arial"/>
          <w:b/>
          <w:sz w:val="18"/>
          <w:szCs w:val="18"/>
        </w:rPr>
        <w:t>Orfadin®</w:t>
      </w:r>
      <w:r w:rsidRPr="004A5E69">
        <w:rPr>
          <w:rFonts w:ascii="Arial" w:hAnsi="Arial" w:cs="Arial"/>
          <w:sz w:val="18"/>
          <w:szCs w:val="18"/>
        </w:rPr>
        <w:t xml:space="preserve"> is a synthetic reversible inhibitor of 4-hydroxyphenylpyruvate dioxygenase indicated for use as an adjunct to dietary restriction of tyrosine and phenylalanine in the treatment of hereditary tyrosinemia type 1 (HT-1).</w:t>
      </w:r>
    </w:p>
    <w:p w:rsidR="004A5E69" w:rsidRPr="004A5E69" w:rsidRDefault="004A5E69" w:rsidP="004A5E69">
      <w:pPr>
        <w:pStyle w:val="ListParagraph"/>
        <w:ind w:left="1440"/>
        <w:rPr>
          <w:rFonts w:ascii="Arial" w:hAnsi="Arial" w:cs="Arial"/>
          <w:sz w:val="18"/>
          <w:szCs w:val="18"/>
        </w:rPr>
      </w:pPr>
      <w:r w:rsidRPr="004A5E69">
        <w:rPr>
          <w:rFonts w:ascii="Arial" w:hAnsi="Arial" w:cs="Arial"/>
          <w:sz w:val="18"/>
          <w:szCs w:val="18"/>
        </w:rPr>
        <w:t xml:space="preserve">The recommended dose of </w:t>
      </w:r>
      <w:r w:rsidR="00BC7698" w:rsidRPr="00BC7698">
        <w:rPr>
          <w:rFonts w:ascii="Arial" w:hAnsi="Arial" w:cs="Arial"/>
          <w:b/>
          <w:sz w:val="18"/>
          <w:szCs w:val="18"/>
        </w:rPr>
        <w:t>Orfadin®</w:t>
      </w:r>
      <w:r w:rsidRPr="004A5E69">
        <w:rPr>
          <w:rFonts w:ascii="Arial" w:hAnsi="Arial" w:cs="Arial"/>
          <w:sz w:val="18"/>
          <w:szCs w:val="18"/>
        </w:rPr>
        <w:t xml:space="preserve"> is 1 to 2 mg/kg divided into two daily doses. The initial dose is 1 mg/kg/day divided for morning and evening administration. Treatment with </w:t>
      </w:r>
      <w:r w:rsidR="00BC7698" w:rsidRPr="00BC7698">
        <w:rPr>
          <w:rFonts w:ascii="Arial" w:hAnsi="Arial" w:cs="Arial"/>
          <w:b/>
          <w:sz w:val="18"/>
          <w:szCs w:val="18"/>
        </w:rPr>
        <w:t>Orfadin®</w:t>
      </w:r>
      <w:r w:rsidRPr="004A5E69">
        <w:rPr>
          <w:rFonts w:ascii="Arial" w:hAnsi="Arial" w:cs="Arial"/>
          <w:sz w:val="18"/>
          <w:szCs w:val="18"/>
        </w:rPr>
        <w:t xml:space="preserve"> should be initiated by a physician experienced in the treatment of HT-1.</w:t>
      </w:r>
    </w:p>
    <w:p w:rsidR="004A5E69" w:rsidRDefault="004A5E69" w:rsidP="004A5E69">
      <w:pPr>
        <w:pStyle w:val="ListParagraph"/>
        <w:ind w:left="1440"/>
        <w:rPr>
          <w:rFonts w:ascii="Arial" w:hAnsi="Arial" w:cs="Arial"/>
          <w:sz w:val="18"/>
          <w:szCs w:val="18"/>
        </w:rPr>
      </w:pPr>
      <w:r w:rsidRPr="004A5E69">
        <w:rPr>
          <w:rFonts w:ascii="Arial" w:hAnsi="Arial" w:cs="Arial"/>
          <w:sz w:val="18"/>
          <w:szCs w:val="18"/>
        </w:rPr>
        <w:t>In patients receiving 1.5 mg/kg/day, whose erythrocyte PBG-synthase activity and urine 5-ALA and urine succinylacetone remain elevated and whose plasma succinylacetone is not normalized after three months, the dose may be increased to up a maximum dose of 2 mg/kg/day.</w:t>
      </w:r>
    </w:p>
    <w:p w:rsidR="004A5E69" w:rsidRDefault="004A5E69" w:rsidP="004A5E69">
      <w:pPr>
        <w:pStyle w:val="ListParagraph"/>
        <w:ind w:left="1440"/>
        <w:rPr>
          <w:rFonts w:ascii="Arial" w:hAnsi="Arial" w:cs="Arial"/>
          <w:sz w:val="18"/>
          <w:szCs w:val="18"/>
        </w:rPr>
      </w:pPr>
    </w:p>
    <w:p w:rsidR="004A5E69" w:rsidRDefault="004A5E69" w:rsidP="004A5E69">
      <w:pPr>
        <w:pStyle w:val="ListParagraph"/>
        <w:ind w:left="1440"/>
        <w:rPr>
          <w:rFonts w:ascii="Arial" w:hAnsi="Arial" w:cs="Arial"/>
          <w:sz w:val="18"/>
          <w:szCs w:val="18"/>
        </w:rPr>
      </w:pPr>
      <w:r>
        <w:rPr>
          <w:rFonts w:ascii="Arial" w:hAnsi="Arial" w:cs="Arial"/>
          <w:sz w:val="18"/>
          <w:szCs w:val="18"/>
        </w:rPr>
        <w:t xml:space="preserve">The reimbursement </w:t>
      </w:r>
      <w:r w:rsidR="00131B2F">
        <w:rPr>
          <w:rFonts w:ascii="Arial" w:hAnsi="Arial" w:cs="Arial"/>
          <w:sz w:val="18"/>
          <w:szCs w:val="18"/>
        </w:rPr>
        <w:t>rate is</w:t>
      </w:r>
      <w:r>
        <w:rPr>
          <w:rFonts w:ascii="Arial" w:hAnsi="Arial" w:cs="Arial"/>
          <w:sz w:val="18"/>
          <w:szCs w:val="18"/>
        </w:rPr>
        <w:t xml:space="preserve"> as follows: 2 mg capsule = $71.72 each; 5 mg capsule = $179.</w:t>
      </w:r>
      <w:r w:rsidR="002D0FCA">
        <w:rPr>
          <w:rFonts w:ascii="Arial" w:hAnsi="Arial" w:cs="Arial"/>
          <w:sz w:val="18"/>
          <w:szCs w:val="18"/>
        </w:rPr>
        <w:t>30</w:t>
      </w:r>
      <w:r>
        <w:rPr>
          <w:rFonts w:ascii="Arial" w:hAnsi="Arial" w:cs="Arial"/>
          <w:sz w:val="18"/>
          <w:szCs w:val="18"/>
        </w:rPr>
        <w:t xml:space="preserve"> each; 10 mg capsule = </w:t>
      </w:r>
      <w:r w:rsidR="002D0FCA">
        <w:rPr>
          <w:rFonts w:ascii="Arial" w:hAnsi="Arial" w:cs="Arial"/>
          <w:sz w:val="18"/>
          <w:szCs w:val="18"/>
        </w:rPr>
        <w:t>$</w:t>
      </w:r>
      <w:r>
        <w:rPr>
          <w:rFonts w:ascii="Arial" w:hAnsi="Arial" w:cs="Arial"/>
          <w:sz w:val="18"/>
          <w:szCs w:val="18"/>
        </w:rPr>
        <w:t xml:space="preserve">358.59 each.   </w:t>
      </w:r>
      <w:r w:rsidR="009403A5">
        <w:rPr>
          <w:rFonts w:ascii="Arial" w:hAnsi="Arial" w:cs="Arial"/>
          <w:sz w:val="18"/>
          <w:szCs w:val="18"/>
        </w:rPr>
        <w:t>An example</w:t>
      </w:r>
      <w:r w:rsidR="00131B2F">
        <w:rPr>
          <w:rFonts w:ascii="Arial" w:hAnsi="Arial" w:cs="Arial"/>
          <w:sz w:val="18"/>
          <w:szCs w:val="18"/>
        </w:rPr>
        <w:t xml:space="preserve"> of reimbursement monthly amount</w:t>
      </w:r>
      <w:r>
        <w:rPr>
          <w:rFonts w:ascii="Arial" w:hAnsi="Arial" w:cs="Arial"/>
          <w:sz w:val="18"/>
          <w:szCs w:val="18"/>
        </w:rPr>
        <w:t xml:space="preserve">, </w:t>
      </w:r>
      <w:r w:rsidRPr="004A5E69">
        <w:rPr>
          <w:rFonts w:ascii="Arial" w:hAnsi="Arial" w:cs="Arial"/>
          <w:sz w:val="18"/>
          <w:szCs w:val="18"/>
        </w:rPr>
        <w:t xml:space="preserve">@ 1 mg/kg, for </w:t>
      </w:r>
      <w:r>
        <w:rPr>
          <w:rFonts w:ascii="Arial" w:hAnsi="Arial" w:cs="Arial"/>
          <w:sz w:val="18"/>
          <w:szCs w:val="18"/>
        </w:rPr>
        <w:t xml:space="preserve">a </w:t>
      </w:r>
      <w:r w:rsidRPr="004A5E69">
        <w:rPr>
          <w:rFonts w:ascii="Arial" w:hAnsi="Arial" w:cs="Arial"/>
          <w:sz w:val="18"/>
          <w:szCs w:val="18"/>
        </w:rPr>
        <w:t>65 kg person = 65 mg per day, (6 x 10 mg) +</w:t>
      </w:r>
      <w:r w:rsidR="002D0FCA">
        <w:rPr>
          <w:rFonts w:ascii="Arial" w:hAnsi="Arial" w:cs="Arial"/>
          <w:sz w:val="18"/>
          <w:szCs w:val="18"/>
        </w:rPr>
        <w:t xml:space="preserve"> </w:t>
      </w:r>
      <w:r w:rsidRPr="004A5E69">
        <w:rPr>
          <w:rFonts w:ascii="Arial" w:hAnsi="Arial" w:cs="Arial"/>
          <w:sz w:val="18"/>
          <w:szCs w:val="18"/>
        </w:rPr>
        <w:t xml:space="preserve">5 mg= ($2,151.54 + </w:t>
      </w:r>
      <w:r w:rsidR="002D0FCA">
        <w:rPr>
          <w:rFonts w:ascii="Arial" w:hAnsi="Arial" w:cs="Arial"/>
          <w:sz w:val="18"/>
          <w:szCs w:val="18"/>
        </w:rPr>
        <w:t>$</w:t>
      </w:r>
      <w:r w:rsidRPr="004A5E69">
        <w:rPr>
          <w:rFonts w:ascii="Arial" w:hAnsi="Arial" w:cs="Arial"/>
          <w:sz w:val="18"/>
          <w:szCs w:val="18"/>
        </w:rPr>
        <w:t>179.29) = $2,330.83 per day, or for 31 days = $72,255.73</w:t>
      </w:r>
      <w:r w:rsidR="002B0CCF">
        <w:rPr>
          <w:rFonts w:ascii="Arial" w:hAnsi="Arial" w:cs="Arial"/>
          <w:sz w:val="18"/>
          <w:szCs w:val="18"/>
        </w:rPr>
        <w:t>.</w:t>
      </w:r>
    </w:p>
    <w:p w:rsidR="002B0CCF" w:rsidRDefault="002B0CCF" w:rsidP="004A5E69">
      <w:pPr>
        <w:pStyle w:val="ListParagraph"/>
        <w:ind w:left="1440"/>
        <w:rPr>
          <w:rFonts w:ascii="Arial" w:hAnsi="Arial" w:cs="Arial"/>
          <w:sz w:val="18"/>
          <w:szCs w:val="18"/>
        </w:rPr>
      </w:pPr>
    </w:p>
    <w:p w:rsidR="004A5E69" w:rsidRDefault="004A5E69" w:rsidP="004A5E69">
      <w:pPr>
        <w:ind w:left="1440"/>
        <w:rPr>
          <w:rFonts w:ascii="Arial" w:hAnsi="Arial" w:cs="Arial"/>
          <w:sz w:val="18"/>
          <w:szCs w:val="18"/>
        </w:rPr>
      </w:pPr>
      <w:r w:rsidRPr="00464DAF">
        <w:rPr>
          <w:rFonts w:ascii="Arial" w:hAnsi="Arial" w:cs="Arial"/>
          <w:sz w:val="18"/>
          <w:szCs w:val="18"/>
        </w:rPr>
        <w:t>Manual Review PA will be required for all requests</w:t>
      </w:r>
      <w:r>
        <w:rPr>
          <w:rFonts w:ascii="Arial" w:hAnsi="Arial" w:cs="Arial"/>
          <w:sz w:val="18"/>
          <w:szCs w:val="18"/>
        </w:rPr>
        <w:t xml:space="preserve"> for </w:t>
      </w:r>
      <w:r w:rsidR="00BC7698" w:rsidRPr="00BC7698">
        <w:rPr>
          <w:rFonts w:ascii="Arial" w:hAnsi="Arial" w:cs="Arial"/>
          <w:b/>
          <w:sz w:val="18"/>
          <w:szCs w:val="18"/>
        </w:rPr>
        <w:t>Orfadin®</w:t>
      </w:r>
      <w:r>
        <w:rPr>
          <w:rFonts w:ascii="Arial" w:hAnsi="Arial" w:cs="Arial"/>
          <w:sz w:val="18"/>
          <w:szCs w:val="18"/>
        </w:rPr>
        <w:t xml:space="preserve"> and</w:t>
      </w:r>
      <w:r w:rsidRPr="00464DAF">
        <w:rPr>
          <w:rFonts w:ascii="Arial" w:hAnsi="Arial" w:cs="Arial"/>
          <w:sz w:val="18"/>
          <w:szCs w:val="18"/>
        </w:rPr>
        <w:t xml:space="preserve"> will be reviewed on a case-by-case basis</w:t>
      </w:r>
      <w:r>
        <w:rPr>
          <w:rFonts w:ascii="Arial" w:hAnsi="Arial" w:cs="Arial"/>
          <w:sz w:val="18"/>
          <w:szCs w:val="18"/>
        </w:rPr>
        <w:t>.</w:t>
      </w:r>
    </w:p>
    <w:p w:rsidR="004A5E69" w:rsidRPr="004A5E69" w:rsidRDefault="004A5E69" w:rsidP="004A5E69">
      <w:pPr>
        <w:pStyle w:val="ListParagraph"/>
        <w:ind w:left="1440"/>
        <w:rPr>
          <w:rFonts w:ascii="Arial" w:hAnsi="Arial" w:cs="Arial"/>
          <w:sz w:val="18"/>
          <w:szCs w:val="18"/>
        </w:rPr>
      </w:pPr>
    </w:p>
    <w:p w:rsidR="004A5E69" w:rsidRDefault="004A5E69" w:rsidP="004A5E69">
      <w:pPr>
        <w:pStyle w:val="ListParagraph"/>
        <w:tabs>
          <w:tab w:val="left" w:pos="1095"/>
        </w:tabs>
        <w:ind w:left="1080"/>
        <w:rPr>
          <w:rFonts w:ascii="Arial" w:hAnsi="Arial" w:cs="Arial"/>
          <w:b/>
          <w:sz w:val="18"/>
          <w:szCs w:val="18"/>
        </w:rPr>
      </w:pPr>
      <w:r>
        <w:rPr>
          <w:rFonts w:ascii="Arial" w:hAnsi="Arial" w:cs="Arial"/>
          <w:b/>
          <w:sz w:val="18"/>
          <w:szCs w:val="18"/>
        </w:rPr>
        <w:tab/>
      </w: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Pr="00464DAF">
        <w:rPr>
          <w:rFonts w:ascii="Arial" w:hAnsi="Arial" w:cs="Arial"/>
          <w:b/>
          <w:sz w:val="18"/>
          <w:szCs w:val="18"/>
        </w:rPr>
        <w:t xml:space="preserve">.  </w:t>
      </w:r>
    </w:p>
    <w:p w:rsidR="009073A0" w:rsidRDefault="009073A0" w:rsidP="004A5E69">
      <w:pPr>
        <w:tabs>
          <w:tab w:val="left" w:pos="1587"/>
        </w:tabs>
        <w:rPr>
          <w:rFonts w:ascii="Arial" w:hAnsi="Arial" w:cs="Arial"/>
          <w:b/>
          <w:sz w:val="18"/>
          <w:szCs w:val="18"/>
        </w:rPr>
      </w:pPr>
    </w:p>
    <w:p w:rsidR="004A5E69" w:rsidRDefault="004A5E69" w:rsidP="004A5E69">
      <w:pPr>
        <w:pStyle w:val="ListParagraph"/>
        <w:numPr>
          <w:ilvl w:val="1"/>
          <w:numId w:val="6"/>
        </w:numPr>
        <w:rPr>
          <w:rFonts w:ascii="Arial" w:hAnsi="Arial" w:cs="Arial"/>
          <w:b/>
          <w:sz w:val="18"/>
          <w:szCs w:val="18"/>
          <w:u w:val="single"/>
        </w:rPr>
      </w:pPr>
      <w:r w:rsidRPr="004A5E69">
        <w:rPr>
          <w:rFonts w:ascii="Arial" w:hAnsi="Arial" w:cs="Arial"/>
          <w:b/>
          <w:sz w:val="18"/>
          <w:szCs w:val="18"/>
          <w:u w:val="single"/>
        </w:rPr>
        <w:t>Oxsoralen-Ultra</w:t>
      </w:r>
      <w:r w:rsidR="00131B2F">
        <w:rPr>
          <w:rFonts w:ascii="Arial" w:hAnsi="Arial" w:cs="Arial"/>
          <w:b/>
          <w:sz w:val="18"/>
          <w:szCs w:val="18"/>
          <w:u w:val="single"/>
        </w:rPr>
        <w:t>®</w:t>
      </w:r>
      <w:r w:rsidRPr="004A5E69">
        <w:rPr>
          <w:rFonts w:ascii="Arial" w:hAnsi="Arial" w:cs="Arial"/>
          <w:b/>
          <w:sz w:val="18"/>
          <w:szCs w:val="18"/>
          <w:u w:val="single"/>
        </w:rPr>
        <w:t xml:space="preserve"> (methoxsalen) </w:t>
      </w:r>
      <w:r w:rsidR="000D1C32">
        <w:rPr>
          <w:rFonts w:ascii="Arial" w:hAnsi="Arial" w:cs="Arial"/>
          <w:b/>
          <w:sz w:val="18"/>
          <w:szCs w:val="18"/>
          <w:u w:val="single"/>
        </w:rPr>
        <w:t>c</w:t>
      </w:r>
      <w:r w:rsidRPr="004A5E69">
        <w:rPr>
          <w:rFonts w:ascii="Arial" w:hAnsi="Arial" w:cs="Arial"/>
          <w:b/>
          <w:sz w:val="18"/>
          <w:szCs w:val="18"/>
          <w:u w:val="single"/>
        </w:rPr>
        <w:t>apsule 10 mg and 8-MOP</w:t>
      </w:r>
      <w:r w:rsidR="00131B2F">
        <w:rPr>
          <w:rFonts w:ascii="Arial" w:hAnsi="Arial" w:cs="Arial"/>
          <w:b/>
          <w:sz w:val="18"/>
          <w:szCs w:val="18"/>
          <w:u w:val="single"/>
        </w:rPr>
        <w:t>®</w:t>
      </w:r>
      <w:r w:rsidRPr="004A5E69">
        <w:rPr>
          <w:rFonts w:ascii="Arial" w:hAnsi="Arial" w:cs="Arial"/>
          <w:b/>
          <w:sz w:val="18"/>
          <w:szCs w:val="18"/>
          <w:u w:val="single"/>
        </w:rPr>
        <w:t xml:space="preserve"> (methoxsalen) 10 mg capsule</w:t>
      </w:r>
      <w:r>
        <w:rPr>
          <w:rFonts w:ascii="Arial" w:hAnsi="Arial" w:cs="Arial"/>
          <w:b/>
          <w:sz w:val="18"/>
          <w:szCs w:val="18"/>
          <w:u w:val="single"/>
        </w:rPr>
        <w:t>:</w:t>
      </w:r>
    </w:p>
    <w:p w:rsidR="00CE62F3" w:rsidRDefault="000D1C32" w:rsidP="004A5E69">
      <w:pPr>
        <w:pStyle w:val="ListParagraph"/>
        <w:ind w:left="1440"/>
        <w:rPr>
          <w:rFonts w:ascii="Arial" w:hAnsi="Arial" w:cs="Arial"/>
          <w:sz w:val="18"/>
          <w:szCs w:val="18"/>
        </w:rPr>
      </w:pPr>
      <w:r>
        <w:rPr>
          <w:rFonts w:ascii="Arial" w:hAnsi="Arial" w:cs="Arial"/>
          <w:b/>
          <w:sz w:val="18"/>
          <w:szCs w:val="18"/>
        </w:rPr>
        <w:t>Oxs</w:t>
      </w:r>
      <w:r w:rsidR="004A5E69" w:rsidRPr="00CE62F3">
        <w:rPr>
          <w:rFonts w:ascii="Arial" w:hAnsi="Arial" w:cs="Arial"/>
          <w:b/>
          <w:sz w:val="18"/>
          <w:szCs w:val="18"/>
        </w:rPr>
        <w:t>oralen-Ultra</w:t>
      </w:r>
      <w:r w:rsidR="00CE62F3" w:rsidRPr="00CE62F3">
        <w:rPr>
          <w:rFonts w:ascii="Arial" w:hAnsi="Arial" w:cs="Arial"/>
          <w:b/>
          <w:sz w:val="18"/>
          <w:szCs w:val="18"/>
        </w:rPr>
        <w:t>®</w:t>
      </w:r>
      <w:r w:rsidR="004A5E69" w:rsidRPr="00CE62F3">
        <w:rPr>
          <w:rFonts w:ascii="Arial" w:hAnsi="Arial" w:cs="Arial"/>
          <w:b/>
          <w:sz w:val="18"/>
          <w:szCs w:val="18"/>
        </w:rPr>
        <w:t>:</w:t>
      </w:r>
      <w:r w:rsidR="004A5E69">
        <w:rPr>
          <w:rFonts w:ascii="Arial" w:hAnsi="Arial" w:cs="Arial"/>
          <w:sz w:val="18"/>
          <w:szCs w:val="18"/>
        </w:rPr>
        <w:t xml:space="preserve"> </w:t>
      </w:r>
      <w:r w:rsidR="00CE62F3">
        <w:rPr>
          <w:rFonts w:ascii="Arial" w:hAnsi="Arial" w:cs="Arial"/>
          <w:sz w:val="18"/>
          <w:szCs w:val="18"/>
        </w:rPr>
        <w:t>The FDA approved indication is a follows:</w:t>
      </w:r>
    </w:p>
    <w:p w:rsidR="004A5E69" w:rsidRDefault="004A5E69" w:rsidP="004A5E69">
      <w:pPr>
        <w:pStyle w:val="ListParagraph"/>
        <w:ind w:left="1440"/>
        <w:rPr>
          <w:rFonts w:ascii="Arial" w:hAnsi="Arial" w:cs="Arial"/>
          <w:sz w:val="18"/>
          <w:szCs w:val="18"/>
        </w:rPr>
      </w:pPr>
      <w:r w:rsidRPr="004A5E69">
        <w:rPr>
          <w:rFonts w:ascii="Arial" w:hAnsi="Arial" w:cs="Arial"/>
          <w:sz w:val="18"/>
          <w:szCs w:val="18"/>
        </w:rPr>
        <w:t>Photochemotherapy (</w:t>
      </w:r>
      <w:r w:rsidR="002B0CCF">
        <w:rPr>
          <w:rFonts w:ascii="Arial" w:hAnsi="Arial" w:cs="Arial"/>
          <w:sz w:val="18"/>
          <w:szCs w:val="18"/>
        </w:rPr>
        <w:t>m</w:t>
      </w:r>
      <w:r w:rsidRPr="004A5E69">
        <w:rPr>
          <w:rFonts w:ascii="Arial" w:hAnsi="Arial" w:cs="Arial"/>
          <w:sz w:val="18"/>
          <w:szCs w:val="18"/>
        </w:rPr>
        <w:t>ethoxsalen with long wave UVA radiation) is indicated for the symptomatic control of severe, recalcitrant, disabling psoriasis not adequately responsive to other forms of therapy and when the diagnosis has been supported by biopsy. Methoxsalen is intended to be administered only in conjunction with a schedule of controlled doses of long wave ultraviolet radiation</w:t>
      </w:r>
      <w:r>
        <w:rPr>
          <w:rFonts w:ascii="Arial" w:hAnsi="Arial" w:cs="Arial"/>
          <w:sz w:val="18"/>
          <w:szCs w:val="18"/>
        </w:rPr>
        <w:t xml:space="preserve">.  </w:t>
      </w:r>
    </w:p>
    <w:p w:rsidR="004A5E69" w:rsidRDefault="004A5E69" w:rsidP="004A5E69">
      <w:pPr>
        <w:pStyle w:val="ListParagraph"/>
        <w:ind w:left="1440"/>
        <w:rPr>
          <w:rFonts w:ascii="Arial" w:hAnsi="Arial" w:cs="Arial"/>
          <w:sz w:val="18"/>
          <w:szCs w:val="18"/>
        </w:rPr>
      </w:pPr>
      <w:r w:rsidRPr="004A5E69">
        <w:rPr>
          <w:rFonts w:ascii="Arial" w:hAnsi="Arial" w:cs="Arial"/>
          <w:b/>
          <w:sz w:val="18"/>
          <w:szCs w:val="18"/>
        </w:rPr>
        <w:t>8-MOP</w:t>
      </w:r>
      <w:r w:rsidR="00CE62F3">
        <w:rPr>
          <w:rFonts w:ascii="Arial" w:hAnsi="Arial" w:cs="Arial"/>
          <w:b/>
          <w:sz w:val="18"/>
          <w:szCs w:val="18"/>
        </w:rPr>
        <w:t>®</w:t>
      </w:r>
      <w:r w:rsidRPr="004A5E69">
        <w:rPr>
          <w:rFonts w:ascii="Arial" w:hAnsi="Arial" w:cs="Arial"/>
          <w:b/>
          <w:sz w:val="18"/>
          <w:szCs w:val="18"/>
        </w:rPr>
        <w:t xml:space="preserve"> Capsules</w:t>
      </w:r>
      <w:r>
        <w:rPr>
          <w:rFonts w:ascii="Arial" w:hAnsi="Arial" w:cs="Arial"/>
          <w:sz w:val="18"/>
          <w:szCs w:val="18"/>
        </w:rPr>
        <w:t>:  FDA approved indications include the following:</w:t>
      </w:r>
    </w:p>
    <w:p w:rsidR="004A5E69" w:rsidRPr="004A5E69" w:rsidRDefault="004A5E69" w:rsidP="004A5E69">
      <w:pPr>
        <w:pStyle w:val="ListParagraph"/>
        <w:numPr>
          <w:ilvl w:val="0"/>
          <w:numId w:val="38"/>
        </w:numPr>
        <w:rPr>
          <w:rFonts w:ascii="Arial" w:hAnsi="Arial" w:cs="Arial"/>
          <w:sz w:val="18"/>
          <w:szCs w:val="18"/>
        </w:rPr>
      </w:pPr>
      <w:r w:rsidRPr="004A5E69">
        <w:rPr>
          <w:rFonts w:ascii="Arial" w:hAnsi="Arial" w:cs="Arial"/>
          <w:sz w:val="18"/>
          <w:szCs w:val="18"/>
        </w:rPr>
        <w:t>Photochemotherapy (methoxsalen with long wave UVA radiation) is indicated for the symptomatic control of severe, recalcitrant, disabling psoriasis not adequately responsive to other forms of therapy and when the diagnosis has been supported by biopsy. Photochemotherapy is intended to be administered only in conjunction with a schedule of controlled doses of long wave ultraviolet radiation.</w:t>
      </w:r>
    </w:p>
    <w:p w:rsidR="004A5E69" w:rsidRPr="004A5E69" w:rsidRDefault="004A5E69" w:rsidP="004A5E69">
      <w:pPr>
        <w:pStyle w:val="ListParagraph"/>
        <w:numPr>
          <w:ilvl w:val="0"/>
          <w:numId w:val="38"/>
        </w:numPr>
        <w:rPr>
          <w:rFonts w:ascii="Arial" w:hAnsi="Arial" w:cs="Arial"/>
          <w:sz w:val="18"/>
          <w:szCs w:val="18"/>
        </w:rPr>
      </w:pPr>
      <w:r w:rsidRPr="004A5E69">
        <w:rPr>
          <w:rFonts w:ascii="Arial" w:hAnsi="Arial" w:cs="Arial"/>
          <w:sz w:val="18"/>
          <w:szCs w:val="18"/>
        </w:rPr>
        <w:t>Photochemotherapy (methoxsalen with long wave ultraviolet radiation) is indicated for the repigmentation of idiopathic vitiligo.</w:t>
      </w:r>
    </w:p>
    <w:p w:rsidR="004A5E69" w:rsidRPr="004A5E69" w:rsidRDefault="004A5E69" w:rsidP="004A5E69">
      <w:pPr>
        <w:pStyle w:val="ListParagraph"/>
        <w:numPr>
          <w:ilvl w:val="0"/>
          <w:numId w:val="38"/>
        </w:numPr>
        <w:rPr>
          <w:rFonts w:ascii="Arial" w:hAnsi="Arial" w:cs="Arial"/>
          <w:sz w:val="18"/>
          <w:szCs w:val="18"/>
        </w:rPr>
      </w:pPr>
      <w:r w:rsidRPr="004A5E69">
        <w:rPr>
          <w:rFonts w:ascii="Arial" w:hAnsi="Arial" w:cs="Arial"/>
          <w:sz w:val="18"/>
          <w:szCs w:val="18"/>
        </w:rPr>
        <w:t>Photopheresis (methoxsalen with long wave ultraviolet radiation of white blood cells) is indicated for use with the UVAR* System in the palliative treatment of the skin manifestations of cutaneous T-cell lymphoma (CTCL) in persons who have not been responsive to other forms of treatment. While this dosage form of methoxsalen has been approved for use in combination with photopheresis</w:t>
      </w:r>
      <w:r w:rsidR="003A70B8">
        <w:rPr>
          <w:rFonts w:ascii="Arial" w:hAnsi="Arial" w:cs="Arial"/>
          <w:sz w:val="18"/>
          <w:szCs w:val="18"/>
        </w:rPr>
        <w:t>,</w:t>
      </w:r>
      <w:r w:rsidRPr="004A5E69">
        <w:rPr>
          <w:rFonts w:ascii="Arial" w:hAnsi="Arial" w:cs="Arial"/>
          <w:sz w:val="18"/>
          <w:szCs w:val="18"/>
        </w:rPr>
        <w:t xml:space="preserve"> Oxsoralen Ultra Capsules have not been approved for that use.</w:t>
      </w:r>
    </w:p>
    <w:p w:rsidR="004A5E69" w:rsidRDefault="00CE62F3" w:rsidP="004A5E69">
      <w:pPr>
        <w:pStyle w:val="ListParagraph"/>
        <w:ind w:left="1440"/>
        <w:rPr>
          <w:rFonts w:ascii="Arial" w:hAnsi="Arial" w:cs="Arial"/>
          <w:sz w:val="18"/>
          <w:szCs w:val="18"/>
        </w:rPr>
      </w:pPr>
      <w:r>
        <w:rPr>
          <w:rFonts w:ascii="Arial" w:hAnsi="Arial" w:cs="Arial"/>
          <w:sz w:val="18"/>
          <w:szCs w:val="18"/>
        </w:rPr>
        <w:t>The dosage guidelines in the medication package inserts are extensive; please see package inserts for dosage information.</w:t>
      </w:r>
    </w:p>
    <w:p w:rsidR="00CE62F3" w:rsidRDefault="00CE62F3" w:rsidP="004A5E69">
      <w:pPr>
        <w:pStyle w:val="ListParagraph"/>
        <w:ind w:left="1440"/>
        <w:rPr>
          <w:rFonts w:ascii="Arial" w:hAnsi="Arial" w:cs="Arial"/>
          <w:sz w:val="18"/>
          <w:szCs w:val="18"/>
        </w:rPr>
      </w:pPr>
    </w:p>
    <w:p w:rsidR="00CE62F3" w:rsidRDefault="00CE62F3" w:rsidP="004A5E69">
      <w:pPr>
        <w:pStyle w:val="ListParagraph"/>
        <w:ind w:left="1440"/>
        <w:rPr>
          <w:rFonts w:ascii="Arial" w:hAnsi="Arial" w:cs="Arial"/>
          <w:sz w:val="18"/>
          <w:szCs w:val="18"/>
        </w:rPr>
      </w:pPr>
      <w:r>
        <w:rPr>
          <w:rFonts w:ascii="Arial" w:hAnsi="Arial" w:cs="Arial"/>
          <w:sz w:val="18"/>
          <w:szCs w:val="18"/>
        </w:rPr>
        <w:t>Reimbursement rates are as fol</w:t>
      </w:r>
      <w:r w:rsidR="000D1C32">
        <w:rPr>
          <w:rFonts w:ascii="Arial" w:hAnsi="Arial" w:cs="Arial"/>
          <w:sz w:val="18"/>
          <w:szCs w:val="18"/>
        </w:rPr>
        <w:t xml:space="preserve">lows:  </w:t>
      </w:r>
      <w:r w:rsidR="008B5595" w:rsidRPr="004A5E69">
        <w:rPr>
          <w:rFonts w:ascii="Arial" w:hAnsi="Arial" w:cs="Arial"/>
          <w:b/>
          <w:sz w:val="18"/>
          <w:szCs w:val="18"/>
        </w:rPr>
        <w:t>8-MOP</w:t>
      </w:r>
      <w:r w:rsidR="008B5595">
        <w:rPr>
          <w:rFonts w:ascii="Arial" w:hAnsi="Arial" w:cs="Arial"/>
          <w:b/>
          <w:sz w:val="18"/>
          <w:szCs w:val="18"/>
        </w:rPr>
        <w:t>®</w:t>
      </w:r>
      <w:r w:rsidR="008B5595" w:rsidRPr="004A5E69">
        <w:rPr>
          <w:rFonts w:ascii="Arial" w:hAnsi="Arial" w:cs="Arial"/>
          <w:b/>
          <w:sz w:val="18"/>
          <w:szCs w:val="18"/>
        </w:rPr>
        <w:t xml:space="preserve"> </w:t>
      </w:r>
      <w:r w:rsidR="000D1C32">
        <w:rPr>
          <w:rFonts w:ascii="Arial" w:hAnsi="Arial" w:cs="Arial"/>
          <w:sz w:val="18"/>
          <w:szCs w:val="18"/>
        </w:rPr>
        <w:t>= $30.4</w:t>
      </w:r>
      <w:r w:rsidR="002D0FCA">
        <w:rPr>
          <w:rFonts w:ascii="Arial" w:hAnsi="Arial" w:cs="Arial"/>
          <w:sz w:val="18"/>
          <w:szCs w:val="18"/>
        </w:rPr>
        <w:t>5</w:t>
      </w:r>
      <w:r w:rsidR="000D1C32">
        <w:rPr>
          <w:rFonts w:ascii="Arial" w:hAnsi="Arial" w:cs="Arial"/>
          <w:sz w:val="18"/>
          <w:szCs w:val="18"/>
        </w:rPr>
        <w:t xml:space="preserve"> each; </w:t>
      </w:r>
      <w:r w:rsidR="00BC7698">
        <w:rPr>
          <w:rFonts w:ascii="Arial" w:hAnsi="Arial" w:cs="Arial"/>
          <w:b/>
          <w:sz w:val="18"/>
          <w:szCs w:val="18"/>
        </w:rPr>
        <w:t>Oxs</w:t>
      </w:r>
      <w:r w:rsidR="00BC7698" w:rsidRPr="00CE62F3">
        <w:rPr>
          <w:rFonts w:ascii="Arial" w:hAnsi="Arial" w:cs="Arial"/>
          <w:b/>
          <w:sz w:val="18"/>
          <w:szCs w:val="18"/>
        </w:rPr>
        <w:t>oralen-Ultra®</w:t>
      </w:r>
      <w:r>
        <w:rPr>
          <w:rFonts w:ascii="Arial" w:hAnsi="Arial" w:cs="Arial"/>
          <w:sz w:val="18"/>
          <w:szCs w:val="18"/>
        </w:rPr>
        <w:t xml:space="preserve"> = $79.74</w:t>
      </w:r>
      <w:r w:rsidR="002B0CCF">
        <w:rPr>
          <w:rFonts w:ascii="Arial" w:hAnsi="Arial" w:cs="Arial"/>
          <w:sz w:val="18"/>
          <w:szCs w:val="18"/>
        </w:rPr>
        <w:t xml:space="preserve"> each</w:t>
      </w:r>
      <w:r>
        <w:rPr>
          <w:rFonts w:ascii="Arial" w:hAnsi="Arial" w:cs="Arial"/>
          <w:sz w:val="18"/>
          <w:szCs w:val="18"/>
        </w:rPr>
        <w:t>.</w:t>
      </w:r>
    </w:p>
    <w:p w:rsidR="00CE62F3" w:rsidRDefault="00CE62F3" w:rsidP="004A5E69">
      <w:pPr>
        <w:pStyle w:val="ListParagraph"/>
        <w:ind w:left="1440"/>
        <w:rPr>
          <w:rFonts w:ascii="Arial" w:hAnsi="Arial" w:cs="Arial"/>
          <w:sz w:val="18"/>
          <w:szCs w:val="18"/>
        </w:rPr>
      </w:pPr>
    </w:p>
    <w:p w:rsidR="00CE62F3" w:rsidRDefault="00CE62F3" w:rsidP="00CE62F3">
      <w:pPr>
        <w:ind w:left="1440"/>
        <w:rPr>
          <w:rFonts w:ascii="Arial" w:hAnsi="Arial" w:cs="Arial"/>
          <w:sz w:val="18"/>
          <w:szCs w:val="18"/>
        </w:rPr>
      </w:pPr>
      <w:r w:rsidRPr="00464DAF">
        <w:rPr>
          <w:rFonts w:ascii="Arial" w:hAnsi="Arial" w:cs="Arial"/>
          <w:sz w:val="18"/>
          <w:szCs w:val="18"/>
        </w:rPr>
        <w:t>Manual Review PA will be required for all requests</w:t>
      </w:r>
      <w:r>
        <w:rPr>
          <w:rFonts w:ascii="Arial" w:hAnsi="Arial" w:cs="Arial"/>
          <w:sz w:val="18"/>
          <w:szCs w:val="18"/>
        </w:rPr>
        <w:t xml:space="preserve"> for </w:t>
      </w:r>
      <w:r w:rsidR="009403A5">
        <w:rPr>
          <w:rFonts w:ascii="Arial" w:hAnsi="Arial" w:cs="Arial"/>
          <w:sz w:val="18"/>
          <w:szCs w:val="18"/>
        </w:rPr>
        <w:t>m</w:t>
      </w:r>
      <w:r>
        <w:rPr>
          <w:rFonts w:ascii="Arial" w:hAnsi="Arial" w:cs="Arial"/>
          <w:sz w:val="18"/>
          <w:szCs w:val="18"/>
        </w:rPr>
        <w:t>ethoxsalen oral capsules and</w:t>
      </w:r>
      <w:r w:rsidRPr="00464DAF">
        <w:rPr>
          <w:rFonts w:ascii="Arial" w:hAnsi="Arial" w:cs="Arial"/>
          <w:sz w:val="18"/>
          <w:szCs w:val="18"/>
        </w:rPr>
        <w:t xml:space="preserve"> will be reviewed on a case-by-case basis</w:t>
      </w:r>
      <w:r>
        <w:rPr>
          <w:rFonts w:ascii="Arial" w:hAnsi="Arial" w:cs="Arial"/>
          <w:sz w:val="18"/>
          <w:szCs w:val="18"/>
        </w:rPr>
        <w:t>.</w:t>
      </w:r>
    </w:p>
    <w:p w:rsidR="00CE62F3" w:rsidRPr="004A5E69" w:rsidRDefault="00CE62F3" w:rsidP="00CE62F3">
      <w:pPr>
        <w:pStyle w:val="ListParagraph"/>
        <w:ind w:left="1440"/>
        <w:rPr>
          <w:rFonts w:ascii="Arial" w:hAnsi="Arial" w:cs="Arial"/>
          <w:sz w:val="18"/>
          <w:szCs w:val="18"/>
        </w:rPr>
      </w:pPr>
    </w:p>
    <w:p w:rsidR="00614A66" w:rsidRDefault="00CE62F3" w:rsidP="00CE62F3">
      <w:pPr>
        <w:pStyle w:val="ListParagraph"/>
        <w:tabs>
          <w:tab w:val="left" w:pos="1095"/>
        </w:tabs>
        <w:ind w:left="1080"/>
        <w:rPr>
          <w:rFonts w:ascii="Arial" w:hAnsi="Arial" w:cs="Arial"/>
          <w:b/>
          <w:sz w:val="18"/>
          <w:szCs w:val="18"/>
        </w:rPr>
      </w:pPr>
      <w:r>
        <w:rPr>
          <w:rFonts w:ascii="Arial" w:hAnsi="Arial" w:cs="Arial"/>
          <w:b/>
          <w:sz w:val="18"/>
          <w:szCs w:val="18"/>
        </w:rPr>
        <w:tab/>
      </w: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Pr="00464DAF">
        <w:rPr>
          <w:rFonts w:ascii="Arial" w:hAnsi="Arial" w:cs="Arial"/>
          <w:b/>
          <w:sz w:val="18"/>
          <w:szCs w:val="18"/>
        </w:rPr>
        <w:t xml:space="preserve">.  </w:t>
      </w:r>
    </w:p>
    <w:p w:rsidR="00614A66" w:rsidRDefault="00614A66">
      <w:pPr>
        <w:spacing w:after="200" w:line="276" w:lineRule="auto"/>
        <w:rPr>
          <w:rFonts w:ascii="Arial" w:hAnsi="Arial" w:cs="Arial"/>
          <w:b/>
          <w:sz w:val="18"/>
          <w:szCs w:val="18"/>
        </w:rPr>
      </w:pPr>
      <w:r>
        <w:rPr>
          <w:rFonts w:ascii="Arial" w:hAnsi="Arial" w:cs="Arial"/>
          <w:b/>
          <w:sz w:val="18"/>
          <w:szCs w:val="18"/>
        </w:rPr>
        <w:br w:type="page"/>
      </w:r>
    </w:p>
    <w:p w:rsidR="00F25E79" w:rsidRDefault="00F25E79" w:rsidP="00F25E79">
      <w:pPr>
        <w:pStyle w:val="ListParagraph"/>
        <w:numPr>
          <w:ilvl w:val="1"/>
          <w:numId w:val="6"/>
        </w:numPr>
        <w:rPr>
          <w:rFonts w:ascii="Arial" w:hAnsi="Arial" w:cs="Arial"/>
          <w:b/>
          <w:sz w:val="18"/>
          <w:szCs w:val="18"/>
          <w:u w:val="single"/>
        </w:rPr>
      </w:pPr>
      <w:r w:rsidRPr="00F25E79">
        <w:rPr>
          <w:rFonts w:ascii="Arial" w:hAnsi="Arial" w:cs="Arial"/>
          <w:b/>
          <w:sz w:val="18"/>
          <w:szCs w:val="18"/>
          <w:u w:val="single"/>
        </w:rPr>
        <w:t>Zykadia</w:t>
      </w:r>
      <w:r w:rsidR="00131B2F">
        <w:rPr>
          <w:rFonts w:ascii="Arial" w:hAnsi="Arial" w:cs="Arial"/>
          <w:b/>
          <w:sz w:val="18"/>
          <w:szCs w:val="18"/>
          <w:u w:val="single"/>
        </w:rPr>
        <w:t>™</w:t>
      </w:r>
      <w:r w:rsidRPr="00F25E79">
        <w:rPr>
          <w:rFonts w:ascii="Arial" w:hAnsi="Arial" w:cs="Arial"/>
          <w:b/>
          <w:sz w:val="18"/>
          <w:szCs w:val="18"/>
          <w:u w:val="single"/>
        </w:rPr>
        <w:t xml:space="preserve"> (ceritinib) 150 mg oral capsule: </w:t>
      </w:r>
    </w:p>
    <w:p w:rsidR="00131B2F" w:rsidRDefault="008B5595" w:rsidP="00131B2F">
      <w:pPr>
        <w:pStyle w:val="ListParagraph"/>
        <w:ind w:left="1440"/>
        <w:rPr>
          <w:rFonts w:ascii="Arial" w:hAnsi="Arial" w:cs="Arial"/>
          <w:sz w:val="18"/>
          <w:szCs w:val="18"/>
        </w:rPr>
      </w:pPr>
      <w:r w:rsidRPr="008B5595">
        <w:rPr>
          <w:rFonts w:ascii="Arial" w:hAnsi="Arial" w:cs="Arial"/>
          <w:b/>
          <w:sz w:val="18"/>
          <w:szCs w:val="18"/>
        </w:rPr>
        <w:t>Zykadia™</w:t>
      </w:r>
      <w:r w:rsidR="00131B2F" w:rsidRPr="00131B2F">
        <w:rPr>
          <w:rFonts w:ascii="Arial" w:hAnsi="Arial" w:cs="Arial"/>
          <w:sz w:val="18"/>
          <w:szCs w:val="18"/>
        </w:rPr>
        <w:t xml:space="preserve"> is a kinase inhibitor indicated for the treatment of patients with anaplastic lymphoma kinase (ALK)-positive metastatic non-small cell lung cancer (NSCLC) who have progressed on or are intolerant to crizotinib. This indication is approved under accelerated approval based on tumor response rate and duration of response. </w:t>
      </w:r>
      <w:r w:rsidR="00131B2F">
        <w:rPr>
          <w:rFonts w:ascii="Arial" w:hAnsi="Arial" w:cs="Arial"/>
          <w:sz w:val="18"/>
          <w:szCs w:val="18"/>
        </w:rPr>
        <w:t xml:space="preserve">  </w:t>
      </w:r>
      <w:r w:rsidR="00131B2F" w:rsidRPr="00131B2F">
        <w:rPr>
          <w:rFonts w:ascii="Arial" w:hAnsi="Arial" w:cs="Arial"/>
          <w:sz w:val="18"/>
          <w:szCs w:val="18"/>
        </w:rPr>
        <w:t>An improvement in survival or disease-related symptoms has not been established. Continued approval for this indication may be contingent upon verification and description of clinical benefit in confirmatory trials.</w:t>
      </w:r>
    </w:p>
    <w:p w:rsidR="00131B2F" w:rsidRPr="002B0CCF" w:rsidRDefault="00131B2F" w:rsidP="002B0CCF">
      <w:pPr>
        <w:pStyle w:val="ListParagraph"/>
        <w:ind w:left="1440"/>
        <w:rPr>
          <w:rFonts w:ascii="Arial" w:hAnsi="Arial" w:cs="Arial"/>
          <w:sz w:val="18"/>
          <w:szCs w:val="18"/>
        </w:rPr>
      </w:pPr>
      <w:r w:rsidRPr="00131B2F">
        <w:rPr>
          <w:rFonts w:ascii="Arial" w:hAnsi="Arial" w:cs="Arial"/>
          <w:sz w:val="18"/>
          <w:szCs w:val="18"/>
        </w:rPr>
        <w:t xml:space="preserve">The recommended dose of </w:t>
      </w:r>
      <w:r w:rsidR="008B5595" w:rsidRPr="008B5595">
        <w:rPr>
          <w:rFonts w:ascii="Arial" w:hAnsi="Arial" w:cs="Arial"/>
          <w:b/>
          <w:sz w:val="18"/>
          <w:szCs w:val="18"/>
        </w:rPr>
        <w:t>Zykadia™</w:t>
      </w:r>
      <w:r w:rsidRPr="00131B2F">
        <w:rPr>
          <w:rFonts w:ascii="Arial" w:hAnsi="Arial" w:cs="Arial"/>
          <w:sz w:val="18"/>
          <w:szCs w:val="18"/>
        </w:rPr>
        <w:t xml:space="preserve"> is 750 mg orally once daily until disease progression or</w:t>
      </w:r>
      <w:r w:rsidR="002B0CCF">
        <w:rPr>
          <w:rFonts w:ascii="Arial" w:hAnsi="Arial" w:cs="Arial"/>
          <w:sz w:val="18"/>
          <w:szCs w:val="18"/>
        </w:rPr>
        <w:t xml:space="preserve"> </w:t>
      </w:r>
      <w:r w:rsidRPr="002B0CCF">
        <w:rPr>
          <w:rFonts w:ascii="Arial" w:hAnsi="Arial" w:cs="Arial"/>
          <w:sz w:val="18"/>
          <w:szCs w:val="18"/>
        </w:rPr>
        <w:t xml:space="preserve">unacceptable toxicity. Administer </w:t>
      </w:r>
      <w:r w:rsidR="008B5595" w:rsidRPr="008B5595">
        <w:rPr>
          <w:rFonts w:ascii="Arial" w:hAnsi="Arial" w:cs="Arial"/>
          <w:b/>
          <w:sz w:val="18"/>
          <w:szCs w:val="18"/>
        </w:rPr>
        <w:t>Zykadia™</w:t>
      </w:r>
      <w:r w:rsidRPr="002B0CCF">
        <w:rPr>
          <w:rFonts w:ascii="Arial" w:hAnsi="Arial" w:cs="Arial"/>
          <w:sz w:val="18"/>
          <w:szCs w:val="18"/>
        </w:rPr>
        <w:t xml:space="preserve"> on an empty stomach. (i.e., do not administer within 2 hours of a meal)</w:t>
      </w:r>
    </w:p>
    <w:p w:rsidR="00131B2F" w:rsidRDefault="00131B2F" w:rsidP="00131B2F">
      <w:pPr>
        <w:pStyle w:val="ListParagraph"/>
        <w:ind w:left="1440"/>
        <w:rPr>
          <w:rFonts w:ascii="Arial" w:hAnsi="Arial" w:cs="Arial"/>
          <w:sz w:val="18"/>
          <w:szCs w:val="18"/>
        </w:rPr>
      </w:pPr>
    </w:p>
    <w:p w:rsidR="00131B2F" w:rsidRDefault="00131B2F" w:rsidP="00131B2F">
      <w:pPr>
        <w:pStyle w:val="ListParagraph"/>
        <w:ind w:left="1440"/>
        <w:rPr>
          <w:rFonts w:ascii="Arial" w:hAnsi="Arial" w:cs="Arial"/>
          <w:sz w:val="18"/>
          <w:szCs w:val="18"/>
        </w:rPr>
      </w:pPr>
      <w:r>
        <w:rPr>
          <w:rFonts w:ascii="Arial" w:hAnsi="Arial" w:cs="Arial"/>
          <w:sz w:val="18"/>
          <w:szCs w:val="18"/>
        </w:rPr>
        <w:t>The reimbursement rate is $92.87 for each 150 mg capsule, or $464.3</w:t>
      </w:r>
      <w:r w:rsidR="002D0FCA">
        <w:rPr>
          <w:rFonts w:ascii="Arial" w:hAnsi="Arial" w:cs="Arial"/>
          <w:sz w:val="18"/>
          <w:szCs w:val="18"/>
        </w:rPr>
        <w:t>3</w:t>
      </w:r>
      <w:r>
        <w:rPr>
          <w:rFonts w:ascii="Arial" w:hAnsi="Arial" w:cs="Arial"/>
          <w:sz w:val="18"/>
          <w:szCs w:val="18"/>
        </w:rPr>
        <w:t xml:space="preserve"> per day, or $14,394.</w:t>
      </w:r>
      <w:r w:rsidR="002D0FCA">
        <w:rPr>
          <w:rFonts w:ascii="Arial" w:hAnsi="Arial" w:cs="Arial"/>
          <w:sz w:val="18"/>
          <w:szCs w:val="18"/>
        </w:rPr>
        <w:t>12</w:t>
      </w:r>
      <w:r>
        <w:rPr>
          <w:rFonts w:ascii="Arial" w:hAnsi="Arial" w:cs="Arial"/>
          <w:sz w:val="18"/>
          <w:szCs w:val="18"/>
        </w:rPr>
        <w:t xml:space="preserve"> per 31 day supply. </w:t>
      </w:r>
    </w:p>
    <w:p w:rsidR="00131B2F" w:rsidRDefault="00131B2F" w:rsidP="00131B2F">
      <w:pPr>
        <w:pStyle w:val="ListParagraph"/>
        <w:ind w:left="1440"/>
        <w:rPr>
          <w:rFonts w:ascii="Arial" w:hAnsi="Arial" w:cs="Arial"/>
          <w:sz w:val="18"/>
          <w:szCs w:val="18"/>
        </w:rPr>
      </w:pPr>
    </w:p>
    <w:p w:rsidR="00131B2F" w:rsidRDefault="00131B2F" w:rsidP="00131B2F">
      <w:pPr>
        <w:ind w:left="1440"/>
        <w:rPr>
          <w:rFonts w:ascii="Arial" w:hAnsi="Arial" w:cs="Arial"/>
          <w:sz w:val="18"/>
          <w:szCs w:val="18"/>
        </w:rPr>
      </w:pPr>
      <w:r w:rsidRPr="00464DAF">
        <w:rPr>
          <w:rFonts w:ascii="Arial" w:hAnsi="Arial" w:cs="Arial"/>
          <w:sz w:val="18"/>
          <w:szCs w:val="18"/>
        </w:rPr>
        <w:t>Manual Review PA will be required for all requests</w:t>
      </w:r>
      <w:r>
        <w:rPr>
          <w:rFonts w:ascii="Arial" w:hAnsi="Arial" w:cs="Arial"/>
          <w:sz w:val="18"/>
          <w:szCs w:val="18"/>
        </w:rPr>
        <w:t xml:space="preserve"> for </w:t>
      </w:r>
      <w:r w:rsidR="008B5595" w:rsidRPr="008B5595">
        <w:rPr>
          <w:rFonts w:ascii="Arial" w:hAnsi="Arial" w:cs="Arial"/>
          <w:b/>
          <w:sz w:val="18"/>
          <w:szCs w:val="18"/>
        </w:rPr>
        <w:t>Zykadia™</w:t>
      </w:r>
      <w:r>
        <w:rPr>
          <w:rFonts w:ascii="Arial" w:hAnsi="Arial" w:cs="Arial"/>
          <w:sz w:val="18"/>
          <w:szCs w:val="18"/>
        </w:rPr>
        <w:t xml:space="preserve"> oral capsules and</w:t>
      </w:r>
      <w:r w:rsidRPr="00464DAF">
        <w:rPr>
          <w:rFonts w:ascii="Arial" w:hAnsi="Arial" w:cs="Arial"/>
          <w:sz w:val="18"/>
          <w:szCs w:val="18"/>
        </w:rPr>
        <w:t xml:space="preserve"> will be reviewed on a case-by-case basis</w:t>
      </w:r>
      <w:r>
        <w:rPr>
          <w:rFonts w:ascii="Arial" w:hAnsi="Arial" w:cs="Arial"/>
          <w:sz w:val="18"/>
          <w:szCs w:val="18"/>
        </w:rPr>
        <w:t>.</w:t>
      </w:r>
    </w:p>
    <w:p w:rsidR="00131B2F" w:rsidRPr="004A5E69" w:rsidRDefault="00131B2F" w:rsidP="00131B2F">
      <w:pPr>
        <w:pStyle w:val="ListParagraph"/>
        <w:ind w:left="1440"/>
        <w:rPr>
          <w:rFonts w:ascii="Arial" w:hAnsi="Arial" w:cs="Arial"/>
          <w:sz w:val="18"/>
          <w:szCs w:val="18"/>
        </w:rPr>
      </w:pPr>
    </w:p>
    <w:p w:rsidR="00131B2F" w:rsidRDefault="00131B2F" w:rsidP="00131B2F">
      <w:pPr>
        <w:pStyle w:val="ListParagraph"/>
        <w:tabs>
          <w:tab w:val="left" w:pos="1095"/>
        </w:tabs>
        <w:ind w:left="1080"/>
        <w:rPr>
          <w:rFonts w:ascii="Arial" w:hAnsi="Arial" w:cs="Arial"/>
          <w:b/>
          <w:sz w:val="18"/>
          <w:szCs w:val="18"/>
        </w:rPr>
      </w:pPr>
      <w:r>
        <w:rPr>
          <w:rFonts w:ascii="Arial" w:hAnsi="Arial" w:cs="Arial"/>
          <w:b/>
          <w:sz w:val="18"/>
          <w:szCs w:val="18"/>
        </w:rPr>
        <w:tab/>
      </w: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Pr="00464DAF">
        <w:rPr>
          <w:rFonts w:ascii="Arial" w:hAnsi="Arial" w:cs="Arial"/>
          <w:b/>
          <w:sz w:val="18"/>
          <w:szCs w:val="18"/>
        </w:rPr>
        <w:t xml:space="preserve">.  </w:t>
      </w:r>
    </w:p>
    <w:p w:rsidR="00131B2F" w:rsidRDefault="00131B2F" w:rsidP="00131B2F">
      <w:pPr>
        <w:pStyle w:val="ListParagraph"/>
        <w:tabs>
          <w:tab w:val="left" w:pos="1095"/>
        </w:tabs>
        <w:ind w:left="1080"/>
        <w:rPr>
          <w:rFonts w:ascii="Arial" w:hAnsi="Arial" w:cs="Arial"/>
          <w:b/>
          <w:sz w:val="18"/>
          <w:szCs w:val="18"/>
        </w:rPr>
      </w:pPr>
    </w:p>
    <w:p w:rsidR="00131B2F" w:rsidRDefault="00131B2F" w:rsidP="00131B2F">
      <w:pPr>
        <w:pStyle w:val="ListParagraph"/>
        <w:numPr>
          <w:ilvl w:val="1"/>
          <w:numId w:val="6"/>
        </w:numPr>
        <w:rPr>
          <w:rFonts w:ascii="Arial" w:hAnsi="Arial" w:cs="Arial"/>
          <w:b/>
          <w:sz w:val="18"/>
          <w:szCs w:val="18"/>
          <w:u w:val="single"/>
        </w:rPr>
      </w:pPr>
      <w:r w:rsidRPr="00131B2F">
        <w:rPr>
          <w:rFonts w:ascii="Arial" w:hAnsi="Arial" w:cs="Arial"/>
          <w:b/>
          <w:sz w:val="18"/>
          <w:szCs w:val="18"/>
          <w:u w:val="single"/>
        </w:rPr>
        <w:t>Zontivity</w:t>
      </w:r>
      <w:r w:rsidR="00693A64">
        <w:rPr>
          <w:rFonts w:ascii="Arial" w:hAnsi="Arial" w:cs="Arial"/>
          <w:b/>
          <w:sz w:val="18"/>
          <w:szCs w:val="18"/>
          <w:u w:val="single"/>
        </w:rPr>
        <w:t>™</w:t>
      </w:r>
      <w:r w:rsidRPr="00131B2F">
        <w:rPr>
          <w:rFonts w:ascii="Arial" w:hAnsi="Arial" w:cs="Arial"/>
          <w:b/>
          <w:sz w:val="18"/>
          <w:szCs w:val="18"/>
          <w:u w:val="single"/>
        </w:rPr>
        <w:t xml:space="preserve"> (vorapaxar) 2.08 mg Oral Tablet: </w:t>
      </w:r>
    </w:p>
    <w:p w:rsidR="00131B2F" w:rsidRDefault="008B5595" w:rsidP="00131B2F">
      <w:pPr>
        <w:pStyle w:val="ListParagraph"/>
        <w:ind w:left="1440"/>
        <w:rPr>
          <w:rFonts w:ascii="Arial" w:hAnsi="Arial" w:cs="Arial"/>
          <w:sz w:val="18"/>
          <w:szCs w:val="18"/>
        </w:rPr>
      </w:pPr>
      <w:r w:rsidRPr="008B5595">
        <w:rPr>
          <w:rFonts w:ascii="Arial" w:hAnsi="Arial" w:cs="Arial"/>
          <w:b/>
          <w:sz w:val="18"/>
          <w:szCs w:val="18"/>
        </w:rPr>
        <w:t>Zontivity™</w:t>
      </w:r>
      <w:r w:rsidR="00131B2F" w:rsidRPr="00131B2F">
        <w:rPr>
          <w:rFonts w:ascii="Arial" w:hAnsi="Arial" w:cs="Arial"/>
          <w:sz w:val="18"/>
          <w:szCs w:val="18"/>
        </w:rPr>
        <w:t xml:space="preserve"> is a protease-activated receptor-1 (PAR-1) antagonist indicated for the reduction of thrombotic cardiovascular events in patients with a history of myocardial infarction (MI) or with peripheral arterial disease (PAD).  </w:t>
      </w:r>
      <w:r w:rsidRPr="008B5595">
        <w:rPr>
          <w:rFonts w:ascii="Arial" w:hAnsi="Arial" w:cs="Arial"/>
          <w:b/>
          <w:sz w:val="18"/>
          <w:szCs w:val="18"/>
        </w:rPr>
        <w:t>Zontivity™</w:t>
      </w:r>
      <w:r w:rsidR="00131B2F" w:rsidRPr="00131B2F">
        <w:rPr>
          <w:rFonts w:ascii="Arial" w:hAnsi="Arial" w:cs="Arial"/>
          <w:sz w:val="18"/>
          <w:szCs w:val="18"/>
        </w:rPr>
        <w:t xml:space="preserve"> has been shown to reduce the rate of a combined endpoint of cardiovascular death, MI, stroke, and urgent coronary revascularization.</w:t>
      </w:r>
      <w:r w:rsidR="00693A64">
        <w:rPr>
          <w:rFonts w:ascii="Arial" w:hAnsi="Arial" w:cs="Arial"/>
          <w:sz w:val="18"/>
          <w:szCs w:val="18"/>
        </w:rPr>
        <w:t xml:space="preserve">  The dose is </w:t>
      </w:r>
      <w:r w:rsidR="00131B2F" w:rsidRPr="00131B2F">
        <w:rPr>
          <w:rFonts w:ascii="Arial" w:hAnsi="Arial" w:cs="Arial"/>
          <w:sz w:val="18"/>
          <w:szCs w:val="18"/>
        </w:rPr>
        <w:t xml:space="preserve">one tablet of </w:t>
      </w:r>
      <w:r w:rsidRPr="008B5595">
        <w:rPr>
          <w:rFonts w:ascii="Arial" w:hAnsi="Arial" w:cs="Arial"/>
          <w:b/>
          <w:sz w:val="18"/>
          <w:szCs w:val="18"/>
        </w:rPr>
        <w:t>Zontivity™</w:t>
      </w:r>
      <w:r w:rsidR="00131B2F" w:rsidRPr="00131B2F">
        <w:rPr>
          <w:rFonts w:ascii="Arial" w:hAnsi="Arial" w:cs="Arial"/>
          <w:sz w:val="18"/>
          <w:szCs w:val="18"/>
        </w:rPr>
        <w:t xml:space="preserve"> 2.08 mg orally once daily, with or without food.</w:t>
      </w:r>
      <w:r w:rsidR="002B0CCF">
        <w:rPr>
          <w:rFonts w:ascii="Arial" w:hAnsi="Arial" w:cs="Arial"/>
          <w:sz w:val="18"/>
          <w:szCs w:val="18"/>
        </w:rPr>
        <w:t xml:space="preserve">  </w:t>
      </w:r>
      <w:r w:rsidR="002B0CCF" w:rsidRPr="002B0CCF">
        <w:rPr>
          <w:rFonts w:ascii="Arial" w:hAnsi="Arial" w:cs="Arial"/>
          <w:sz w:val="18"/>
          <w:szCs w:val="18"/>
        </w:rPr>
        <w:t xml:space="preserve">There is no experience with use of </w:t>
      </w:r>
      <w:r w:rsidRPr="008B5595">
        <w:rPr>
          <w:rFonts w:ascii="Arial" w:hAnsi="Arial" w:cs="Arial"/>
          <w:b/>
          <w:sz w:val="18"/>
          <w:szCs w:val="18"/>
        </w:rPr>
        <w:t>Zontivity™</w:t>
      </w:r>
      <w:r w:rsidR="002B0CCF" w:rsidRPr="002B0CCF">
        <w:rPr>
          <w:rFonts w:ascii="Arial" w:hAnsi="Arial" w:cs="Arial"/>
          <w:sz w:val="18"/>
          <w:szCs w:val="18"/>
        </w:rPr>
        <w:t xml:space="preserve"> alone as the only administered antiplatelet agent. </w:t>
      </w:r>
      <w:r w:rsidRPr="008B5595">
        <w:rPr>
          <w:rFonts w:ascii="Arial" w:hAnsi="Arial" w:cs="Arial"/>
          <w:b/>
          <w:sz w:val="18"/>
          <w:szCs w:val="18"/>
        </w:rPr>
        <w:t>Zontivity™</w:t>
      </w:r>
      <w:r w:rsidR="002B0CCF" w:rsidRPr="002B0CCF">
        <w:rPr>
          <w:rFonts w:ascii="Arial" w:hAnsi="Arial" w:cs="Arial"/>
          <w:sz w:val="18"/>
          <w:szCs w:val="18"/>
        </w:rPr>
        <w:t xml:space="preserve"> has been studied only as an addition to aspirin and/or clopidogrel.</w:t>
      </w:r>
    </w:p>
    <w:p w:rsidR="00693A64" w:rsidRDefault="00693A64" w:rsidP="00131B2F">
      <w:pPr>
        <w:pStyle w:val="ListParagraph"/>
        <w:ind w:left="1440"/>
        <w:rPr>
          <w:rFonts w:ascii="Arial" w:hAnsi="Arial" w:cs="Arial"/>
          <w:sz w:val="18"/>
          <w:szCs w:val="18"/>
        </w:rPr>
      </w:pPr>
    </w:p>
    <w:p w:rsidR="00693A64" w:rsidRDefault="00693A64" w:rsidP="00131B2F">
      <w:pPr>
        <w:pStyle w:val="ListParagraph"/>
        <w:ind w:left="1440"/>
        <w:rPr>
          <w:rFonts w:ascii="Arial" w:hAnsi="Arial" w:cs="Arial"/>
          <w:sz w:val="18"/>
          <w:szCs w:val="18"/>
        </w:rPr>
      </w:pPr>
      <w:r>
        <w:rPr>
          <w:rFonts w:ascii="Arial" w:hAnsi="Arial" w:cs="Arial"/>
          <w:sz w:val="18"/>
          <w:szCs w:val="18"/>
        </w:rPr>
        <w:t xml:space="preserve">The reimbursement rate of </w:t>
      </w:r>
      <w:r w:rsidR="008B5595" w:rsidRPr="008B5595">
        <w:rPr>
          <w:rFonts w:ascii="Arial" w:hAnsi="Arial" w:cs="Arial"/>
          <w:b/>
          <w:sz w:val="18"/>
          <w:szCs w:val="18"/>
        </w:rPr>
        <w:t>Zontivity™</w:t>
      </w:r>
      <w:r>
        <w:rPr>
          <w:rFonts w:ascii="Arial" w:hAnsi="Arial" w:cs="Arial"/>
          <w:sz w:val="18"/>
          <w:szCs w:val="18"/>
        </w:rPr>
        <w:t xml:space="preserve"> is $9.20 per tablet, or $285</w:t>
      </w:r>
      <w:r w:rsidR="002D0FCA">
        <w:rPr>
          <w:rFonts w:ascii="Arial" w:hAnsi="Arial" w:cs="Arial"/>
          <w:sz w:val="18"/>
          <w:szCs w:val="18"/>
        </w:rPr>
        <w:t>.05</w:t>
      </w:r>
      <w:r>
        <w:rPr>
          <w:rFonts w:ascii="Arial" w:hAnsi="Arial" w:cs="Arial"/>
          <w:sz w:val="18"/>
          <w:szCs w:val="18"/>
        </w:rPr>
        <w:t xml:space="preserve"> per 31 day supply.</w:t>
      </w:r>
    </w:p>
    <w:p w:rsidR="00693A64" w:rsidRDefault="00693A64" w:rsidP="00131B2F">
      <w:pPr>
        <w:pStyle w:val="ListParagraph"/>
        <w:ind w:left="1440"/>
        <w:rPr>
          <w:rFonts w:ascii="Arial" w:hAnsi="Arial" w:cs="Arial"/>
          <w:sz w:val="18"/>
          <w:szCs w:val="18"/>
        </w:rPr>
      </w:pPr>
    </w:p>
    <w:p w:rsidR="00693A64" w:rsidRDefault="00693A64" w:rsidP="00693A64">
      <w:pPr>
        <w:ind w:left="1440"/>
        <w:rPr>
          <w:rFonts w:ascii="Arial" w:hAnsi="Arial" w:cs="Arial"/>
          <w:sz w:val="18"/>
          <w:szCs w:val="18"/>
        </w:rPr>
      </w:pPr>
      <w:r w:rsidRPr="00464DAF">
        <w:rPr>
          <w:rFonts w:ascii="Arial" w:hAnsi="Arial" w:cs="Arial"/>
          <w:sz w:val="18"/>
          <w:szCs w:val="18"/>
        </w:rPr>
        <w:t>Manual Review PA will be required for all requests</w:t>
      </w:r>
      <w:r>
        <w:rPr>
          <w:rFonts w:ascii="Arial" w:hAnsi="Arial" w:cs="Arial"/>
          <w:sz w:val="18"/>
          <w:szCs w:val="18"/>
        </w:rPr>
        <w:t xml:space="preserve"> for </w:t>
      </w:r>
      <w:r w:rsidR="008B5595" w:rsidRPr="008B5595">
        <w:rPr>
          <w:rFonts w:ascii="Arial" w:hAnsi="Arial" w:cs="Arial"/>
          <w:b/>
          <w:sz w:val="18"/>
          <w:szCs w:val="18"/>
        </w:rPr>
        <w:t>Zontivity™</w:t>
      </w:r>
      <w:r>
        <w:rPr>
          <w:rFonts w:ascii="Arial" w:hAnsi="Arial" w:cs="Arial"/>
          <w:sz w:val="18"/>
          <w:szCs w:val="18"/>
        </w:rPr>
        <w:t xml:space="preserve"> oral tablet and</w:t>
      </w:r>
      <w:r w:rsidRPr="00464DAF">
        <w:rPr>
          <w:rFonts w:ascii="Arial" w:hAnsi="Arial" w:cs="Arial"/>
          <w:sz w:val="18"/>
          <w:szCs w:val="18"/>
        </w:rPr>
        <w:t xml:space="preserve"> will be reviewed on a case-by-case basis</w:t>
      </w:r>
      <w:r>
        <w:rPr>
          <w:rFonts w:ascii="Arial" w:hAnsi="Arial" w:cs="Arial"/>
          <w:sz w:val="18"/>
          <w:szCs w:val="18"/>
        </w:rPr>
        <w:t>.</w:t>
      </w:r>
    </w:p>
    <w:p w:rsidR="00693A64" w:rsidRPr="004A5E69" w:rsidRDefault="00693A64" w:rsidP="00693A64">
      <w:pPr>
        <w:pStyle w:val="ListParagraph"/>
        <w:ind w:left="1440"/>
        <w:rPr>
          <w:rFonts w:ascii="Arial" w:hAnsi="Arial" w:cs="Arial"/>
          <w:sz w:val="18"/>
          <w:szCs w:val="18"/>
        </w:rPr>
      </w:pPr>
    </w:p>
    <w:p w:rsidR="00693A64" w:rsidRDefault="00693A64" w:rsidP="00693A64">
      <w:pPr>
        <w:pStyle w:val="ListParagraph"/>
        <w:tabs>
          <w:tab w:val="left" w:pos="1095"/>
        </w:tabs>
        <w:ind w:left="1080"/>
        <w:rPr>
          <w:rFonts w:ascii="Arial" w:hAnsi="Arial" w:cs="Arial"/>
          <w:b/>
          <w:sz w:val="18"/>
          <w:szCs w:val="18"/>
        </w:rPr>
      </w:pPr>
      <w:r>
        <w:rPr>
          <w:rFonts w:ascii="Arial" w:hAnsi="Arial" w:cs="Arial"/>
          <w:b/>
          <w:sz w:val="18"/>
          <w:szCs w:val="18"/>
        </w:rPr>
        <w:tab/>
      </w: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Pr="00464DAF">
        <w:rPr>
          <w:rFonts w:ascii="Arial" w:hAnsi="Arial" w:cs="Arial"/>
          <w:b/>
          <w:sz w:val="18"/>
          <w:szCs w:val="18"/>
        </w:rPr>
        <w:t xml:space="preserve">.  </w:t>
      </w:r>
    </w:p>
    <w:p w:rsidR="00693A64" w:rsidRDefault="00693A64" w:rsidP="00693A64">
      <w:pPr>
        <w:pStyle w:val="ListParagraph"/>
        <w:tabs>
          <w:tab w:val="left" w:pos="1095"/>
        </w:tabs>
        <w:ind w:left="1080"/>
        <w:rPr>
          <w:rFonts w:ascii="Arial" w:hAnsi="Arial" w:cs="Arial"/>
          <w:b/>
          <w:sz w:val="18"/>
          <w:szCs w:val="18"/>
        </w:rPr>
      </w:pPr>
    </w:p>
    <w:p w:rsidR="00693A64" w:rsidRDefault="00693A64" w:rsidP="00693A64">
      <w:pPr>
        <w:pStyle w:val="ListParagraph"/>
        <w:numPr>
          <w:ilvl w:val="1"/>
          <w:numId w:val="6"/>
        </w:numPr>
        <w:rPr>
          <w:rFonts w:ascii="Arial" w:hAnsi="Arial" w:cs="Arial"/>
          <w:b/>
          <w:sz w:val="18"/>
          <w:szCs w:val="18"/>
          <w:u w:val="single"/>
        </w:rPr>
      </w:pPr>
      <w:r w:rsidRPr="00693A64">
        <w:rPr>
          <w:rFonts w:ascii="Arial" w:hAnsi="Arial" w:cs="Arial"/>
          <w:b/>
          <w:sz w:val="18"/>
          <w:szCs w:val="18"/>
          <w:u w:val="single"/>
        </w:rPr>
        <w:t>Sylvant</w:t>
      </w:r>
      <w:r w:rsidR="00A74B42">
        <w:rPr>
          <w:rFonts w:ascii="Arial" w:hAnsi="Arial" w:cs="Arial"/>
          <w:b/>
          <w:sz w:val="18"/>
          <w:szCs w:val="18"/>
          <w:u w:val="single"/>
        </w:rPr>
        <w:t>™</w:t>
      </w:r>
      <w:r w:rsidRPr="00693A64">
        <w:rPr>
          <w:rFonts w:ascii="Arial" w:hAnsi="Arial" w:cs="Arial"/>
          <w:b/>
          <w:sz w:val="18"/>
          <w:szCs w:val="18"/>
          <w:u w:val="single"/>
        </w:rPr>
        <w:t xml:space="preserve"> (siltuximab) vial for injection, 100s  mg, 400 mg:</w:t>
      </w:r>
    </w:p>
    <w:p w:rsidR="00693A64" w:rsidRPr="00693A64" w:rsidRDefault="008B5595" w:rsidP="00693A64">
      <w:pPr>
        <w:pStyle w:val="ListParagraph"/>
        <w:ind w:left="1440"/>
        <w:rPr>
          <w:rFonts w:ascii="Arial" w:hAnsi="Arial" w:cs="Arial"/>
          <w:sz w:val="18"/>
          <w:szCs w:val="18"/>
        </w:rPr>
      </w:pPr>
      <w:r w:rsidRPr="008B5595">
        <w:rPr>
          <w:rFonts w:ascii="Arial" w:hAnsi="Arial" w:cs="Arial"/>
          <w:b/>
          <w:sz w:val="18"/>
          <w:szCs w:val="18"/>
        </w:rPr>
        <w:t>Sylvant™</w:t>
      </w:r>
      <w:r w:rsidR="00693A64" w:rsidRPr="00693A64">
        <w:rPr>
          <w:rFonts w:ascii="Arial" w:hAnsi="Arial" w:cs="Arial"/>
          <w:sz w:val="18"/>
          <w:szCs w:val="18"/>
        </w:rPr>
        <w:t xml:space="preserve"> is indicated for the treatment of patients with multicentric Castleman's disease (MCD) who</w:t>
      </w:r>
      <w:r w:rsidR="00693A64">
        <w:rPr>
          <w:rFonts w:ascii="Arial" w:hAnsi="Arial" w:cs="Arial"/>
          <w:sz w:val="18"/>
          <w:szCs w:val="18"/>
        </w:rPr>
        <w:t xml:space="preserve"> </w:t>
      </w:r>
      <w:r w:rsidR="00693A64" w:rsidRPr="00693A64">
        <w:rPr>
          <w:rFonts w:ascii="Arial" w:hAnsi="Arial" w:cs="Arial"/>
          <w:sz w:val="18"/>
          <w:szCs w:val="18"/>
        </w:rPr>
        <w:t>are human immunodeficiency virus (HIV) negative and human herpesvirus-8 (HHV-8) negative.</w:t>
      </w:r>
    </w:p>
    <w:p w:rsidR="00693A64" w:rsidRPr="00693A64" w:rsidRDefault="00693A64" w:rsidP="00693A64">
      <w:pPr>
        <w:pStyle w:val="ListParagraph"/>
        <w:ind w:left="1440"/>
        <w:rPr>
          <w:rFonts w:ascii="Arial" w:hAnsi="Arial" w:cs="Arial"/>
          <w:sz w:val="18"/>
          <w:szCs w:val="18"/>
        </w:rPr>
      </w:pPr>
      <w:r w:rsidRPr="00693A64">
        <w:rPr>
          <w:rFonts w:ascii="Arial" w:hAnsi="Arial" w:cs="Arial"/>
          <w:sz w:val="18"/>
          <w:szCs w:val="18"/>
        </w:rPr>
        <w:t>Limitation of Use</w:t>
      </w:r>
    </w:p>
    <w:p w:rsidR="00693A64" w:rsidRPr="00693A64" w:rsidRDefault="008B5595" w:rsidP="00693A64">
      <w:pPr>
        <w:pStyle w:val="ListParagraph"/>
        <w:ind w:left="1440"/>
        <w:rPr>
          <w:rFonts w:ascii="Arial" w:hAnsi="Arial" w:cs="Arial"/>
          <w:sz w:val="18"/>
          <w:szCs w:val="18"/>
        </w:rPr>
      </w:pPr>
      <w:r w:rsidRPr="008B5595">
        <w:rPr>
          <w:rFonts w:ascii="Arial" w:hAnsi="Arial" w:cs="Arial"/>
          <w:b/>
          <w:sz w:val="18"/>
          <w:szCs w:val="18"/>
        </w:rPr>
        <w:t>Sylvant™</w:t>
      </w:r>
      <w:r w:rsidR="00693A64" w:rsidRPr="00693A64">
        <w:rPr>
          <w:rFonts w:ascii="Arial" w:hAnsi="Arial" w:cs="Arial"/>
          <w:sz w:val="18"/>
          <w:szCs w:val="18"/>
        </w:rPr>
        <w:t xml:space="preserve"> was not studied in patients with MCD who are HIV positive or HHV-8 positive because</w:t>
      </w:r>
    </w:p>
    <w:p w:rsidR="00693A64" w:rsidRPr="00693A64" w:rsidRDefault="008B5595" w:rsidP="00693A64">
      <w:pPr>
        <w:pStyle w:val="ListParagraph"/>
        <w:ind w:left="1440"/>
        <w:rPr>
          <w:rFonts w:ascii="Arial" w:hAnsi="Arial" w:cs="Arial"/>
          <w:sz w:val="18"/>
          <w:szCs w:val="18"/>
        </w:rPr>
      </w:pPr>
      <w:r w:rsidRPr="008B5595">
        <w:rPr>
          <w:rFonts w:ascii="Arial" w:hAnsi="Arial" w:cs="Arial"/>
          <w:b/>
          <w:sz w:val="18"/>
          <w:szCs w:val="18"/>
        </w:rPr>
        <w:t>Sylvant™</w:t>
      </w:r>
      <w:r w:rsidR="00693A64" w:rsidRPr="00693A64">
        <w:rPr>
          <w:rFonts w:ascii="Arial" w:hAnsi="Arial" w:cs="Arial"/>
          <w:sz w:val="18"/>
          <w:szCs w:val="18"/>
        </w:rPr>
        <w:t xml:space="preserve"> did not bind to virally produced IL-6 in a nonclinical study.</w:t>
      </w:r>
    </w:p>
    <w:p w:rsidR="00693A64" w:rsidRPr="00693A64" w:rsidRDefault="00693A64" w:rsidP="00693A64">
      <w:pPr>
        <w:pStyle w:val="ListParagraph"/>
        <w:ind w:left="1440"/>
        <w:rPr>
          <w:rFonts w:ascii="Arial" w:hAnsi="Arial" w:cs="Arial"/>
          <w:sz w:val="18"/>
          <w:szCs w:val="18"/>
        </w:rPr>
      </w:pPr>
    </w:p>
    <w:p w:rsidR="00693A64" w:rsidRPr="00693A64" w:rsidRDefault="00693A64" w:rsidP="00693A64">
      <w:pPr>
        <w:pStyle w:val="ListParagraph"/>
        <w:ind w:left="1440"/>
        <w:rPr>
          <w:rFonts w:ascii="Arial" w:hAnsi="Arial" w:cs="Arial"/>
          <w:sz w:val="18"/>
          <w:szCs w:val="18"/>
        </w:rPr>
      </w:pPr>
      <w:r>
        <w:rPr>
          <w:rFonts w:ascii="Arial" w:hAnsi="Arial" w:cs="Arial"/>
          <w:sz w:val="18"/>
          <w:szCs w:val="18"/>
        </w:rPr>
        <w:t xml:space="preserve">The dose of </w:t>
      </w:r>
      <w:r w:rsidR="002D0FCA" w:rsidRPr="008B5595">
        <w:rPr>
          <w:rFonts w:ascii="Arial" w:hAnsi="Arial" w:cs="Arial"/>
          <w:b/>
          <w:sz w:val="18"/>
          <w:szCs w:val="18"/>
        </w:rPr>
        <w:t>Sylvant™</w:t>
      </w:r>
      <w:r w:rsidRPr="00693A64">
        <w:rPr>
          <w:rFonts w:ascii="Arial" w:hAnsi="Arial" w:cs="Arial"/>
          <w:sz w:val="18"/>
          <w:szCs w:val="18"/>
        </w:rPr>
        <w:t xml:space="preserve"> </w:t>
      </w:r>
      <w:r>
        <w:rPr>
          <w:rFonts w:ascii="Arial" w:hAnsi="Arial" w:cs="Arial"/>
          <w:sz w:val="18"/>
          <w:szCs w:val="18"/>
        </w:rPr>
        <w:t xml:space="preserve">is </w:t>
      </w:r>
      <w:r w:rsidRPr="00693A64">
        <w:rPr>
          <w:rFonts w:ascii="Arial" w:hAnsi="Arial" w:cs="Arial"/>
          <w:sz w:val="18"/>
          <w:szCs w:val="18"/>
        </w:rPr>
        <w:t xml:space="preserve">11 mg/kg given over 1 hour as an intravenous infusion administered every 3 weeks until treatment failure. Perform hematology laboratory tests prior to each dose of </w:t>
      </w:r>
      <w:r w:rsidR="008B5595" w:rsidRPr="008B5595">
        <w:rPr>
          <w:rFonts w:ascii="Arial" w:hAnsi="Arial" w:cs="Arial"/>
          <w:b/>
          <w:sz w:val="18"/>
          <w:szCs w:val="18"/>
        </w:rPr>
        <w:t>Sylvant™</w:t>
      </w:r>
      <w:r w:rsidRPr="00693A64">
        <w:rPr>
          <w:rFonts w:ascii="Arial" w:hAnsi="Arial" w:cs="Arial"/>
          <w:sz w:val="18"/>
          <w:szCs w:val="18"/>
        </w:rPr>
        <w:t xml:space="preserve"> therapy for the first 12 months and every 3 dosing cycles thereafter. If treatment criteria </w:t>
      </w:r>
      <w:r>
        <w:rPr>
          <w:rFonts w:ascii="Arial" w:hAnsi="Arial" w:cs="Arial"/>
          <w:sz w:val="18"/>
          <w:szCs w:val="18"/>
        </w:rPr>
        <w:t>for the l</w:t>
      </w:r>
      <w:r w:rsidRPr="00693A64">
        <w:rPr>
          <w:rFonts w:ascii="Arial" w:hAnsi="Arial" w:cs="Arial"/>
          <w:sz w:val="18"/>
          <w:szCs w:val="18"/>
        </w:rPr>
        <w:t>aboratory parameter</w:t>
      </w:r>
      <w:r>
        <w:rPr>
          <w:rFonts w:ascii="Arial" w:hAnsi="Arial" w:cs="Arial"/>
          <w:sz w:val="18"/>
          <w:szCs w:val="18"/>
        </w:rPr>
        <w:t>s</w:t>
      </w:r>
      <w:r w:rsidRPr="00693A64">
        <w:rPr>
          <w:rFonts w:ascii="Arial" w:hAnsi="Arial" w:cs="Arial"/>
          <w:sz w:val="18"/>
          <w:szCs w:val="18"/>
        </w:rPr>
        <w:t xml:space="preserve"> outlined in Table 1 </w:t>
      </w:r>
      <w:r>
        <w:rPr>
          <w:rFonts w:ascii="Arial" w:hAnsi="Arial" w:cs="Arial"/>
          <w:sz w:val="18"/>
          <w:szCs w:val="18"/>
        </w:rPr>
        <w:t xml:space="preserve">of the package insert </w:t>
      </w:r>
      <w:r w:rsidRPr="00693A64">
        <w:rPr>
          <w:rFonts w:ascii="Arial" w:hAnsi="Arial" w:cs="Arial"/>
          <w:sz w:val="18"/>
          <w:szCs w:val="18"/>
        </w:rPr>
        <w:t xml:space="preserve">are not met, consider delaying treatment with </w:t>
      </w:r>
      <w:r w:rsidR="008B5595" w:rsidRPr="008B5595">
        <w:rPr>
          <w:rFonts w:ascii="Arial" w:hAnsi="Arial" w:cs="Arial"/>
          <w:b/>
          <w:sz w:val="18"/>
          <w:szCs w:val="18"/>
        </w:rPr>
        <w:t>Sylvant™</w:t>
      </w:r>
      <w:r w:rsidRPr="00693A64">
        <w:rPr>
          <w:rFonts w:ascii="Arial" w:hAnsi="Arial" w:cs="Arial"/>
          <w:sz w:val="18"/>
          <w:szCs w:val="18"/>
        </w:rPr>
        <w:t xml:space="preserve">. </w:t>
      </w:r>
      <w:r>
        <w:rPr>
          <w:rFonts w:ascii="Arial" w:hAnsi="Arial" w:cs="Arial"/>
          <w:sz w:val="18"/>
          <w:szCs w:val="18"/>
        </w:rPr>
        <w:t>Package insert states d</w:t>
      </w:r>
      <w:r w:rsidRPr="00693A64">
        <w:rPr>
          <w:rFonts w:ascii="Arial" w:hAnsi="Arial" w:cs="Arial"/>
          <w:sz w:val="18"/>
          <w:szCs w:val="18"/>
        </w:rPr>
        <w:t>o not reduce dose.</w:t>
      </w:r>
      <w:r>
        <w:rPr>
          <w:rFonts w:ascii="Arial" w:hAnsi="Arial" w:cs="Arial"/>
          <w:sz w:val="18"/>
          <w:szCs w:val="18"/>
        </w:rPr>
        <w:t xml:space="preserve">  </w:t>
      </w:r>
      <w:r w:rsidRPr="00693A64">
        <w:rPr>
          <w:rFonts w:ascii="Arial" w:hAnsi="Arial" w:cs="Arial"/>
          <w:sz w:val="18"/>
          <w:szCs w:val="18"/>
        </w:rPr>
        <w:t xml:space="preserve">Do not administer </w:t>
      </w:r>
      <w:r w:rsidR="008B5595" w:rsidRPr="008B5595">
        <w:rPr>
          <w:rFonts w:ascii="Arial" w:hAnsi="Arial" w:cs="Arial"/>
          <w:b/>
          <w:sz w:val="18"/>
          <w:szCs w:val="18"/>
        </w:rPr>
        <w:t>Sylvant™</w:t>
      </w:r>
      <w:r w:rsidRPr="00693A64">
        <w:rPr>
          <w:rFonts w:ascii="Arial" w:hAnsi="Arial" w:cs="Arial"/>
          <w:sz w:val="18"/>
          <w:szCs w:val="18"/>
        </w:rPr>
        <w:t xml:space="preserve"> to patients with severe infections until the infection resolves.</w:t>
      </w:r>
      <w:r>
        <w:rPr>
          <w:rFonts w:ascii="Arial" w:hAnsi="Arial" w:cs="Arial"/>
          <w:sz w:val="18"/>
          <w:szCs w:val="18"/>
        </w:rPr>
        <w:t xml:space="preserve">  </w:t>
      </w:r>
      <w:r w:rsidRPr="00693A64">
        <w:rPr>
          <w:rFonts w:ascii="Arial" w:hAnsi="Arial" w:cs="Arial"/>
          <w:sz w:val="18"/>
          <w:szCs w:val="18"/>
        </w:rPr>
        <w:t xml:space="preserve">Discontinue </w:t>
      </w:r>
      <w:r w:rsidR="008B5595" w:rsidRPr="008B5595">
        <w:rPr>
          <w:rFonts w:ascii="Arial" w:hAnsi="Arial" w:cs="Arial"/>
          <w:b/>
          <w:sz w:val="18"/>
          <w:szCs w:val="18"/>
        </w:rPr>
        <w:t>Sylvant™</w:t>
      </w:r>
      <w:r w:rsidR="008B5595">
        <w:rPr>
          <w:rFonts w:ascii="Arial" w:hAnsi="Arial" w:cs="Arial"/>
          <w:b/>
          <w:sz w:val="18"/>
          <w:szCs w:val="18"/>
        </w:rPr>
        <w:t xml:space="preserve"> </w:t>
      </w:r>
      <w:r w:rsidRPr="00693A64">
        <w:rPr>
          <w:rFonts w:ascii="Arial" w:hAnsi="Arial" w:cs="Arial"/>
          <w:sz w:val="18"/>
          <w:szCs w:val="18"/>
        </w:rPr>
        <w:t>in patients with severe infusion related reactions, anaphylaxis, severe allergic reactions, or cytokine release syndromes. Do not reinstitute treatment.</w:t>
      </w:r>
      <w:r w:rsidR="00A74B42">
        <w:rPr>
          <w:rFonts w:ascii="Arial" w:hAnsi="Arial" w:cs="Arial"/>
          <w:sz w:val="18"/>
          <w:szCs w:val="18"/>
        </w:rPr>
        <w:t xml:space="preserve"> </w:t>
      </w:r>
      <w:r>
        <w:rPr>
          <w:rFonts w:ascii="Arial" w:hAnsi="Arial" w:cs="Arial"/>
          <w:sz w:val="18"/>
          <w:szCs w:val="18"/>
        </w:rPr>
        <w:t>The i</w:t>
      </w:r>
      <w:r w:rsidRPr="00693A64">
        <w:rPr>
          <w:rFonts w:ascii="Arial" w:hAnsi="Arial" w:cs="Arial"/>
          <w:sz w:val="18"/>
          <w:szCs w:val="18"/>
        </w:rPr>
        <w:t xml:space="preserve">nstructions for </w:t>
      </w:r>
      <w:r>
        <w:rPr>
          <w:rFonts w:ascii="Arial" w:hAnsi="Arial" w:cs="Arial"/>
          <w:sz w:val="18"/>
          <w:szCs w:val="18"/>
        </w:rPr>
        <w:t>p</w:t>
      </w:r>
      <w:r w:rsidRPr="00693A64">
        <w:rPr>
          <w:rFonts w:ascii="Arial" w:hAnsi="Arial" w:cs="Arial"/>
          <w:sz w:val="18"/>
          <w:szCs w:val="18"/>
        </w:rPr>
        <w:t xml:space="preserve">reparation and </w:t>
      </w:r>
      <w:r>
        <w:rPr>
          <w:rFonts w:ascii="Arial" w:hAnsi="Arial" w:cs="Arial"/>
          <w:sz w:val="18"/>
          <w:szCs w:val="18"/>
        </w:rPr>
        <w:t>a</w:t>
      </w:r>
      <w:r w:rsidRPr="00693A64">
        <w:rPr>
          <w:rFonts w:ascii="Arial" w:hAnsi="Arial" w:cs="Arial"/>
          <w:sz w:val="18"/>
          <w:szCs w:val="18"/>
        </w:rPr>
        <w:t>dministration are quite extensive</w:t>
      </w:r>
      <w:r w:rsidR="00A74B42">
        <w:rPr>
          <w:rFonts w:ascii="Arial" w:hAnsi="Arial" w:cs="Arial"/>
          <w:sz w:val="18"/>
          <w:szCs w:val="18"/>
        </w:rPr>
        <w:t xml:space="preserve"> and t</w:t>
      </w:r>
      <w:r w:rsidR="00A74B42" w:rsidRPr="00A74B42">
        <w:rPr>
          <w:rFonts w:ascii="Arial" w:hAnsi="Arial" w:cs="Arial"/>
          <w:sz w:val="18"/>
          <w:szCs w:val="18"/>
        </w:rPr>
        <w:t>he reconstituted product should be kept for no more than two hours prior to addition into the infusion bag.</w:t>
      </w:r>
      <w:r w:rsidR="00A74B42">
        <w:rPr>
          <w:rFonts w:ascii="Arial" w:hAnsi="Arial" w:cs="Arial"/>
          <w:sz w:val="18"/>
          <w:szCs w:val="18"/>
        </w:rPr>
        <w:t xml:space="preserve"> Please review complete instructions in the package insert. </w:t>
      </w:r>
      <w:r w:rsidRPr="00693A64">
        <w:rPr>
          <w:rFonts w:ascii="Arial" w:hAnsi="Arial" w:cs="Arial"/>
          <w:sz w:val="18"/>
          <w:szCs w:val="18"/>
        </w:rPr>
        <w:t xml:space="preserve"> </w:t>
      </w:r>
    </w:p>
    <w:p w:rsidR="00693A64" w:rsidRPr="00693A64" w:rsidRDefault="00693A64" w:rsidP="00693A64">
      <w:pPr>
        <w:pStyle w:val="ListParagraph"/>
        <w:ind w:left="1440"/>
        <w:rPr>
          <w:rFonts w:ascii="Arial" w:hAnsi="Arial" w:cs="Arial"/>
          <w:sz w:val="18"/>
          <w:szCs w:val="18"/>
        </w:rPr>
      </w:pPr>
    </w:p>
    <w:p w:rsidR="00693A64" w:rsidRPr="00693A64" w:rsidRDefault="00A74B42" w:rsidP="00693A64">
      <w:pPr>
        <w:pStyle w:val="ListParagraph"/>
        <w:ind w:left="1440"/>
        <w:rPr>
          <w:rFonts w:ascii="Arial" w:hAnsi="Arial" w:cs="Arial"/>
          <w:sz w:val="18"/>
          <w:szCs w:val="18"/>
        </w:rPr>
      </w:pPr>
      <w:r>
        <w:rPr>
          <w:rFonts w:ascii="Arial" w:hAnsi="Arial" w:cs="Arial"/>
          <w:sz w:val="18"/>
          <w:szCs w:val="18"/>
        </w:rPr>
        <w:t>The reimbursement rate is as follows:</w:t>
      </w:r>
      <w:r w:rsidR="00693A64" w:rsidRPr="00693A64">
        <w:rPr>
          <w:rFonts w:ascii="Arial" w:hAnsi="Arial" w:cs="Arial"/>
          <w:sz w:val="18"/>
          <w:szCs w:val="18"/>
        </w:rPr>
        <w:t xml:space="preserve"> 100 mg vial = $ 859.66; 400 mg vial = $ 3,438.62; example of cost per infusion for 80 kg patient = 880 mg = $7,736.90</w:t>
      </w:r>
      <w:r>
        <w:rPr>
          <w:rFonts w:ascii="Arial" w:hAnsi="Arial" w:cs="Arial"/>
          <w:sz w:val="18"/>
          <w:szCs w:val="18"/>
        </w:rPr>
        <w:t xml:space="preserve"> every 3 weeks</w:t>
      </w:r>
      <w:r w:rsidR="00693A64" w:rsidRPr="00693A64">
        <w:rPr>
          <w:rFonts w:ascii="Arial" w:hAnsi="Arial" w:cs="Arial"/>
          <w:sz w:val="18"/>
          <w:szCs w:val="18"/>
        </w:rPr>
        <w:t>.</w:t>
      </w:r>
    </w:p>
    <w:p w:rsidR="00693A64" w:rsidRDefault="00693A64" w:rsidP="00693A64">
      <w:pPr>
        <w:pStyle w:val="ListParagraph"/>
        <w:tabs>
          <w:tab w:val="left" w:pos="1095"/>
        </w:tabs>
        <w:ind w:left="1080"/>
        <w:rPr>
          <w:rFonts w:ascii="Arial" w:hAnsi="Arial" w:cs="Arial"/>
          <w:sz w:val="18"/>
          <w:szCs w:val="18"/>
        </w:rPr>
      </w:pPr>
    </w:p>
    <w:p w:rsidR="00A74B42" w:rsidRDefault="00A74B42" w:rsidP="00A74B42">
      <w:pPr>
        <w:ind w:left="1440"/>
        <w:rPr>
          <w:rFonts w:ascii="Arial" w:hAnsi="Arial" w:cs="Arial"/>
          <w:sz w:val="18"/>
          <w:szCs w:val="18"/>
        </w:rPr>
      </w:pPr>
      <w:r w:rsidRPr="00464DAF">
        <w:rPr>
          <w:rFonts w:ascii="Arial" w:hAnsi="Arial" w:cs="Arial"/>
          <w:sz w:val="18"/>
          <w:szCs w:val="18"/>
        </w:rPr>
        <w:lastRenderedPageBreak/>
        <w:t>Manual Review PA will be required for all requests</w:t>
      </w:r>
      <w:r>
        <w:rPr>
          <w:rFonts w:ascii="Arial" w:hAnsi="Arial" w:cs="Arial"/>
          <w:sz w:val="18"/>
          <w:szCs w:val="18"/>
        </w:rPr>
        <w:t xml:space="preserve"> for </w:t>
      </w:r>
      <w:r w:rsidR="008B5595" w:rsidRPr="008B5595">
        <w:rPr>
          <w:rFonts w:ascii="Arial" w:hAnsi="Arial" w:cs="Arial"/>
          <w:b/>
          <w:sz w:val="18"/>
          <w:szCs w:val="18"/>
        </w:rPr>
        <w:t>Sylvant™</w:t>
      </w:r>
      <w:r>
        <w:rPr>
          <w:rFonts w:ascii="Arial" w:hAnsi="Arial" w:cs="Arial"/>
          <w:sz w:val="18"/>
          <w:szCs w:val="18"/>
        </w:rPr>
        <w:t xml:space="preserve"> vials for injection and</w:t>
      </w:r>
      <w:r w:rsidRPr="00464DAF">
        <w:rPr>
          <w:rFonts w:ascii="Arial" w:hAnsi="Arial" w:cs="Arial"/>
          <w:sz w:val="18"/>
          <w:szCs w:val="18"/>
        </w:rPr>
        <w:t xml:space="preserve"> will be reviewed on a case-by-case basis</w:t>
      </w:r>
      <w:r>
        <w:rPr>
          <w:rFonts w:ascii="Arial" w:hAnsi="Arial" w:cs="Arial"/>
          <w:sz w:val="18"/>
          <w:szCs w:val="18"/>
        </w:rPr>
        <w:t>.</w:t>
      </w:r>
    </w:p>
    <w:p w:rsidR="00A74B42" w:rsidRPr="004A5E69" w:rsidRDefault="00A74B42" w:rsidP="00A74B42">
      <w:pPr>
        <w:pStyle w:val="ListParagraph"/>
        <w:ind w:left="1440"/>
        <w:rPr>
          <w:rFonts w:ascii="Arial" w:hAnsi="Arial" w:cs="Arial"/>
          <w:sz w:val="18"/>
          <w:szCs w:val="18"/>
        </w:rPr>
      </w:pPr>
    </w:p>
    <w:p w:rsidR="00A74B42" w:rsidRDefault="00A74B42" w:rsidP="00A74B42">
      <w:pPr>
        <w:pStyle w:val="ListParagraph"/>
        <w:tabs>
          <w:tab w:val="left" w:pos="1095"/>
        </w:tabs>
        <w:ind w:left="1080"/>
        <w:rPr>
          <w:rFonts w:ascii="Arial" w:hAnsi="Arial" w:cs="Arial"/>
          <w:b/>
          <w:sz w:val="18"/>
          <w:szCs w:val="18"/>
        </w:rPr>
      </w:pPr>
      <w:r>
        <w:rPr>
          <w:rFonts w:ascii="Arial" w:hAnsi="Arial" w:cs="Arial"/>
          <w:b/>
          <w:sz w:val="18"/>
          <w:szCs w:val="18"/>
        </w:rPr>
        <w:tab/>
      </w: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Pr="00464DAF">
        <w:rPr>
          <w:rFonts w:ascii="Arial" w:hAnsi="Arial" w:cs="Arial"/>
          <w:b/>
          <w:sz w:val="18"/>
          <w:szCs w:val="18"/>
        </w:rPr>
        <w:t xml:space="preserve">.  </w:t>
      </w:r>
    </w:p>
    <w:p w:rsidR="00646DAD" w:rsidRDefault="00646DAD" w:rsidP="00A74B42">
      <w:pPr>
        <w:pStyle w:val="ListParagraph"/>
        <w:tabs>
          <w:tab w:val="left" w:pos="1095"/>
        </w:tabs>
        <w:ind w:left="1080"/>
        <w:rPr>
          <w:rFonts w:ascii="Arial" w:hAnsi="Arial" w:cs="Arial"/>
          <w:b/>
          <w:sz w:val="18"/>
          <w:szCs w:val="18"/>
        </w:rPr>
      </w:pPr>
    </w:p>
    <w:p w:rsidR="00646DAD" w:rsidRDefault="00646DAD" w:rsidP="00646DAD">
      <w:pPr>
        <w:pStyle w:val="ListParagraph"/>
        <w:numPr>
          <w:ilvl w:val="1"/>
          <w:numId w:val="6"/>
        </w:numPr>
        <w:rPr>
          <w:rFonts w:ascii="Arial" w:hAnsi="Arial" w:cs="Arial"/>
          <w:b/>
          <w:sz w:val="18"/>
          <w:szCs w:val="18"/>
          <w:u w:val="single"/>
        </w:rPr>
      </w:pPr>
      <w:r w:rsidRPr="00646DAD">
        <w:rPr>
          <w:rFonts w:ascii="Arial" w:hAnsi="Arial" w:cs="Arial"/>
          <w:b/>
          <w:sz w:val="18"/>
          <w:szCs w:val="18"/>
          <w:u w:val="single"/>
        </w:rPr>
        <w:t>Evzio</w:t>
      </w:r>
      <w:r w:rsidR="00366B85">
        <w:rPr>
          <w:rFonts w:ascii="Arial" w:hAnsi="Arial" w:cs="Arial"/>
          <w:b/>
          <w:sz w:val="18"/>
          <w:szCs w:val="18"/>
          <w:u w:val="single"/>
        </w:rPr>
        <w:t>™</w:t>
      </w:r>
      <w:r w:rsidR="009403A5">
        <w:rPr>
          <w:rFonts w:ascii="Arial" w:hAnsi="Arial" w:cs="Arial"/>
          <w:b/>
          <w:sz w:val="18"/>
          <w:szCs w:val="18"/>
          <w:u w:val="single"/>
        </w:rPr>
        <w:t xml:space="preserve"> (naloxone) 0.</w:t>
      </w:r>
      <w:r w:rsidRPr="00646DAD">
        <w:rPr>
          <w:rFonts w:ascii="Arial" w:hAnsi="Arial" w:cs="Arial"/>
          <w:b/>
          <w:sz w:val="18"/>
          <w:szCs w:val="18"/>
          <w:u w:val="single"/>
        </w:rPr>
        <w:t xml:space="preserve">4 mg auto-injector: </w:t>
      </w:r>
    </w:p>
    <w:p w:rsidR="00646DAD" w:rsidRPr="00646DAD" w:rsidRDefault="008B5595" w:rsidP="00646DAD">
      <w:pPr>
        <w:pStyle w:val="ListParagraph"/>
        <w:ind w:left="1440"/>
        <w:rPr>
          <w:rFonts w:ascii="Arial" w:hAnsi="Arial" w:cs="Arial"/>
          <w:sz w:val="18"/>
          <w:szCs w:val="18"/>
        </w:rPr>
      </w:pPr>
      <w:r w:rsidRPr="008B5595">
        <w:rPr>
          <w:rFonts w:ascii="Arial" w:hAnsi="Arial" w:cs="Arial"/>
          <w:b/>
          <w:sz w:val="18"/>
          <w:szCs w:val="18"/>
        </w:rPr>
        <w:t>Evzio™</w:t>
      </w:r>
      <w:r w:rsidR="00646DAD" w:rsidRPr="00646DAD">
        <w:rPr>
          <w:rFonts w:ascii="Arial" w:hAnsi="Arial" w:cs="Arial"/>
          <w:sz w:val="18"/>
          <w:szCs w:val="18"/>
        </w:rPr>
        <w:t xml:space="preserve"> is an opioid antagonist indicated for the emergency treatment of known or suspected opioid overdose, as manifested by respiratory and/or central nervous system depression.</w:t>
      </w:r>
      <w:r w:rsidR="00646DAD">
        <w:rPr>
          <w:rFonts w:ascii="Arial" w:hAnsi="Arial" w:cs="Arial"/>
          <w:sz w:val="18"/>
          <w:szCs w:val="18"/>
        </w:rPr>
        <w:t xml:space="preserve">  </w:t>
      </w:r>
      <w:r w:rsidRPr="008B5595">
        <w:rPr>
          <w:rFonts w:ascii="Arial" w:hAnsi="Arial" w:cs="Arial"/>
          <w:b/>
          <w:sz w:val="18"/>
          <w:szCs w:val="18"/>
        </w:rPr>
        <w:t>Evzio™</w:t>
      </w:r>
      <w:r w:rsidR="00646DAD" w:rsidRPr="00646DAD">
        <w:rPr>
          <w:rFonts w:ascii="Arial" w:hAnsi="Arial" w:cs="Arial"/>
          <w:sz w:val="18"/>
          <w:szCs w:val="18"/>
        </w:rPr>
        <w:t xml:space="preserve"> is intended for immediate administration as emergency therapy in settings where opioids may be present.</w:t>
      </w:r>
      <w:r w:rsidR="00646DAD">
        <w:rPr>
          <w:rFonts w:ascii="Arial" w:hAnsi="Arial" w:cs="Arial"/>
          <w:sz w:val="18"/>
          <w:szCs w:val="18"/>
        </w:rPr>
        <w:t xml:space="preserve">  </w:t>
      </w:r>
      <w:r w:rsidRPr="008B5595">
        <w:rPr>
          <w:rFonts w:ascii="Arial" w:hAnsi="Arial" w:cs="Arial"/>
          <w:b/>
          <w:sz w:val="18"/>
          <w:szCs w:val="18"/>
        </w:rPr>
        <w:t>Evzio™</w:t>
      </w:r>
      <w:r w:rsidR="00646DAD" w:rsidRPr="00646DAD">
        <w:rPr>
          <w:rFonts w:ascii="Arial" w:hAnsi="Arial" w:cs="Arial"/>
          <w:sz w:val="18"/>
          <w:szCs w:val="18"/>
        </w:rPr>
        <w:t xml:space="preserve"> is not a substitute for emergency medical care.</w:t>
      </w:r>
    </w:p>
    <w:p w:rsidR="00646DAD" w:rsidRPr="00646DAD" w:rsidRDefault="00646DAD" w:rsidP="00646DAD">
      <w:pPr>
        <w:pStyle w:val="ListParagraph"/>
        <w:ind w:left="1440"/>
        <w:rPr>
          <w:rFonts w:ascii="Arial" w:hAnsi="Arial" w:cs="Arial"/>
          <w:sz w:val="18"/>
          <w:szCs w:val="18"/>
        </w:rPr>
      </w:pPr>
    </w:p>
    <w:p w:rsidR="00646DAD" w:rsidRPr="00646DAD" w:rsidRDefault="00646DAD" w:rsidP="00646DAD">
      <w:pPr>
        <w:pStyle w:val="ListParagraph"/>
        <w:ind w:left="1440"/>
        <w:rPr>
          <w:rFonts w:ascii="Arial" w:hAnsi="Arial" w:cs="Arial"/>
          <w:sz w:val="18"/>
          <w:szCs w:val="18"/>
        </w:rPr>
      </w:pPr>
      <w:r>
        <w:rPr>
          <w:rFonts w:ascii="Arial" w:hAnsi="Arial" w:cs="Arial"/>
          <w:sz w:val="18"/>
          <w:szCs w:val="18"/>
        </w:rPr>
        <w:t xml:space="preserve">The reimbursement for </w:t>
      </w:r>
      <w:r w:rsidR="008B5595" w:rsidRPr="008B5595">
        <w:rPr>
          <w:rFonts w:ascii="Arial" w:hAnsi="Arial" w:cs="Arial"/>
          <w:b/>
          <w:sz w:val="18"/>
          <w:szCs w:val="18"/>
        </w:rPr>
        <w:t>Evzio™</w:t>
      </w:r>
      <w:r w:rsidR="008B5595">
        <w:rPr>
          <w:rFonts w:ascii="Arial" w:hAnsi="Arial" w:cs="Arial"/>
          <w:b/>
          <w:sz w:val="18"/>
          <w:szCs w:val="18"/>
        </w:rPr>
        <w:t xml:space="preserve"> </w:t>
      </w:r>
      <w:r w:rsidRPr="00646DAD">
        <w:rPr>
          <w:rFonts w:ascii="Arial" w:hAnsi="Arial" w:cs="Arial"/>
          <w:sz w:val="18"/>
          <w:szCs w:val="18"/>
        </w:rPr>
        <w:t xml:space="preserve">auto-injector </w:t>
      </w:r>
      <w:r>
        <w:rPr>
          <w:rFonts w:ascii="Arial" w:hAnsi="Arial" w:cs="Arial"/>
          <w:sz w:val="18"/>
          <w:szCs w:val="18"/>
        </w:rPr>
        <w:t xml:space="preserve">is </w:t>
      </w:r>
      <w:r w:rsidR="00366B85">
        <w:rPr>
          <w:rFonts w:ascii="Arial" w:hAnsi="Arial" w:cs="Arial"/>
          <w:sz w:val="18"/>
          <w:szCs w:val="18"/>
        </w:rPr>
        <w:t>$296.70 each.</w:t>
      </w:r>
      <w:r w:rsidRPr="00646DAD">
        <w:rPr>
          <w:rFonts w:ascii="Arial" w:hAnsi="Arial" w:cs="Arial"/>
          <w:sz w:val="18"/>
          <w:szCs w:val="18"/>
        </w:rPr>
        <w:t xml:space="preserve"> </w:t>
      </w:r>
    </w:p>
    <w:p w:rsidR="00646DAD" w:rsidRPr="00646DAD" w:rsidRDefault="00646DAD" w:rsidP="00646DAD">
      <w:pPr>
        <w:pStyle w:val="ListParagraph"/>
        <w:ind w:left="1440"/>
        <w:rPr>
          <w:rFonts w:ascii="Arial" w:hAnsi="Arial" w:cs="Arial"/>
          <w:sz w:val="18"/>
          <w:szCs w:val="18"/>
        </w:rPr>
      </w:pPr>
    </w:p>
    <w:p w:rsidR="00646DAD" w:rsidRPr="00646DAD" w:rsidRDefault="00646DAD" w:rsidP="00646DAD">
      <w:pPr>
        <w:pStyle w:val="ListParagraph"/>
        <w:ind w:left="1440"/>
        <w:rPr>
          <w:rFonts w:ascii="Arial" w:hAnsi="Arial" w:cs="Arial"/>
          <w:sz w:val="18"/>
          <w:szCs w:val="18"/>
        </w:rPr>
      </w:pPr>
      <w:r w:rsidRPr="00646DAD">
        <w:rPr>
          <w:rFonts w:ascii="Arial" w:hAnsi="Arial" w:cs="Arial"/>
          <w:sz w:val="18"/>
          <w:szCs w:val="18"/>
        </w:rPr>
        <w:t>Other Naloxone injections are available through pharmacy program</w:t>
      </w:r>
      <w:r>
        <w:rPr>
          <w:rFonts w:ascii="Arial" w:hAnsi="Arial" w:cs="Arial"/>
          <w:sz w:val="18"/>
          <w:szCs w:val="18"/>
        </w:rPr>
        <w:t xml:space="preserve"> and the reimbursement rates are as follows</w:t>
      </w:r>
      <w:r w:rsidRPr="00646DAD">
        <w:rPr>
          <w:rFonts w:ascii="Arial" w:hAnsi="Arial" w:cs="Arial"/>
          <w:sz w:val="18"/>
          <w:szCs w:val="18"/>
        </w:rPr>
        <w:t>:</w:t>
      </w:r>
    </w:p>
    <w:p w:rsidR="00646DAD" w:rsidRPr="00646DAD" w:rsidRDefault="00646DAD" w:rsidP="00646DAD">
      <w:pPr>
        <w:pStyle w:val="ListParagraph"/>
        <w:ind w:left="1440"/>
        <w:rPr>
          <w:rFonts w:ascii="Arial" w:hAnsi="Arial" w:cs="Arial"/>
          <w:sz w:val="18"/>
          <w:szCs w:val="18"/>
        </w:rPr>
      </w:pPr>
      <w:r w:rsidRPr="00646DAD">
        <w:rPr>
          <w:rFonts w:ascii="Arial" w:hAnsi="Arial" w:cs="Arial"/>
          <w:sz w:val="18"/>
          <w:szCs w:val="18"/>
        </w:rPr>
        <w:t>Naloxone 0.4mg/ml syringe = $14.82 each</w:t>
      </w:r>
    </w:p>
    <w:p w:rsidR="00646DAD" w:rsidRPr="00646DAD" w:rsidRDefault="00646DAD" w:rsidP="00646DAD">
      <w:pPr>
        <w:pStyle w:val="ListParagraph"/>
        <w:ind w:left="1440"/>
        <w:rPr>
          <w:rFonts w:ascii="Arial" w:hAnsi="Arial" w:cs="Arial"/>
          <w:sz w:val="18"/>
          <w:szCs w:val="18"/>
        </w:rPr>
      </w:pPr>
      <w:r w:rsidRPr="00646DAD">
        <w:rPr>
          <w:rFonts w:ascii="Arial" w:hAnsi="Arial" w:cs="Arial"/>
          <w:sz w:val="18"/>
          <w:szCs w:val="18"/>
        </w:rPr>
        <w:t xml:space="preserve">Naloxone 2mg/2 ml syringe = $16.27 each </w:t>
      </w:r>
    </w:p>
    <w:p w:rsidR="00646DAD" w:rsidRPr="00646DAD" w:rsidRDefault="00646DAD" w:rsidP="00646DAD">
      <w:pPr>
        <w:pStyle w:val="ListParagraph"/>
        <w:ind w:left="1440"/>
        <w:rPr>
          <w:rFonts w:ascii="Arial" w:hAnsi="Arial" w:cs="Arial"/>
          <w:sz w:val="18"/>
          <w:szCs w:val="18"/>
        </w:rPr>
      </w:pPr>
      <w:r w:rsidRPr="00646DAD">
        <w:rPr>
          <w:rFonts w:ascii="Arial" w:hAnsi="Arial" w:cs="Arial"/>
          <w:sz w:val="18"/>
          <w:szCs w:val="18"/>
        </w:rPr>
        <w:t xml:space="preserve">Naloxone 0.4 mg/ml vial, 10 ml vial = $13.16 per ml, </w:t>
      </w:r>
      <w:r>
        <w:rPr>
          <w:rFonts w:ascii="Arial" w:hAnsi="Arial" w:cs="Arial"/>
          <w:sz w:val="18"/>
          <w:szCs w:val="18"/>
        </w:rPr>
        <w:t>or $1</w:t>
      </w:r>
      <w:r w:rsidRPr="00646DAD">
        <w:rPr>
          <w:rFonts w:ascii="Arial" w:hAnsi="Arial" w:cs="Arial"/>
          <w:sz w:val="18"/>
          <w:szCs w:val="18"/>
        </w:rPr>
        <w:t>31.</w:t>
      </w:r>
      <w:r w:rsidR="002D0FCA">
        <w:rPr>
          <w:rFonts w:ascii="Arial" w:hAnsi="Arial" w:cs="Arial"/>
          <w:sz w:val="18"/>
          <w:szCs w:val="18"/>
        </w:rPr>
        <w:t>5</w:t>
      </w:r>
      <w:r w:rsidRPr="00646DAD">
        <w:rPr>
          <w:rFonts w:ascii="Arial" w:hAnsi="Arial" w:cs="Arial"/>
          <w:sz w:val="18"/>
          <w:szCs w:val="18"/>
        </w:rPr>
        <w:t xml:space="preserve">7 for </w:t>
      </w:r>
      <w:r>
        <w:rPr>
          <w:rFonts w:ascii="Arial" w:hAnsi="Arial" w:cs="Arial"/>
          <w:sz w:val="18"/>
          <w:szCs w:val="18"/>
        </w:rPr>
        <w:t xml:space="preserve">the </w:t>
      </w:r>
      <w:r w:rsidRPr="00646DAD">
        <w:rPr>
          <w:rFonts w:ascii="Arial" w:hAnsi="Arial" w:cs="Arial"/>
          <w:sz w:val="18"/>
          <w:szCs w:val="18"/>
        </w:rPr>
        <w:t>10 ml vial</w:t>
      </w:r>
    </w:p>
    <w:p w:rsidR="00646DAD" w:rsidRPr="00646DAD" w:rsidRDefault="00646DAD" w:rsidP="00646DAD">
      <w:pPr>
        <w:pStyle w:val="ListParagraph"/>
        <w:ind w:left="1440"/>
        <w:rPr>
          <w:rFonts w:ascii="Arial" w:hAnsi="Arial" w:cs="Arial"/>
          <w:sz w:val="18"/>
          <w:szCs w:val="18"/>
        </w:rPr>
      </w:pPr>
      <w:r w:rsidRPr="00646DAD">
        <w:rPr>
          <w:rFonts w:ascii="Arial" w:hAnsi="Arial" w:cs="Arial"/>
          <w:sz w:val="18"/>
          <w:szCs w:val="18"/>
        </w:rPr>
        <w:t>Naloxone 0.4 mg/ml vial, 1 ml vial = $21.11 each</w:t>
      </w:r>
    </w:p>
    <w:p w:rsidR="00646DAD" w:rsidRDefault="00646DAD" w:rsidP="00A74B42">
      <w:pPr>
        <w:pStyle w:val="ListParagraph"/>
        <w:tabs>
          <w:tab w:val="left" w:pos="1095"/>
        </w:tabs>
        <w:ind w:left="1080"/>
        <w:rPr>
          <w:rFonts w:ascii="Arial" w:hAnsi="Arial" w:cs="Arial"/>
          <w:b/>
          <w:sz w:val="18"/>
          <w:szCs w:val="18"/>
        </w:rPr>
      </w:pPr>
    </w:p>
    <w:p w:rsidR="005C2374" w:rsidRDefault="00646DAD" w:rsidP="00646DAD">
      <w:pPr>
        <w:ind w:left="1440"/>
        <w:rPr>
          <w:rFonts w:ascii="Arial" w:hAnsi="Arial" w:cs="Arial"/>
          <w:sz w:val="18"/>
          <w:szCs w:val="18"/>
        </w:rPr>
      </w:pPr>
      <w:r w:rsidRPr="00464DAF">
        <w:rPr>
          <w:rFonts w:ascii="Arial" w:hAnsi="Arial" w:cs="Arial"/>
          <w:sz w:val="18"/>
          <w:szCs w:val="18"/>
        </w:rPr>
        <w:t>Manual Review PA will be required for all requests</w:t>
      </w:r>
      <w:r>
        <w:rPr>
          <w:rFonts w:ascii="Arial" w:hAnsi="Arial" w:cs="Arial"/>
          <w:sz w:val="18"/>
          <w:szCs w:val="18"/>
        </w:rPr>
        <w:t xml:space="preserve"> for </w:t>
      </w:r>
      <w:r w:rsidR="008B5595" w:rsidRPr="008B5595">
        <w:rPr>
          <w:rFonts w:ascii="Arial" w:hAnsi="Arial" w:cs="Arial"/>
          <w:b/>
          <w:sz w:val="18"/>
          <w:szCs w:val="18"/>
        </w:rPr>
        <w:t>Evzio™</w:t>
      </w:r>
      <w:r>
        <w:rPr>
          <w:rFonts w:ascii="Arial" w:hAnsi="Arial" w:cs="Arial"/>
          <w:sz w:val="18"/>
          <w:szCs w:val="18"/>
        </w:rPr>
        <w:t xml:space="preserve"> auto-injector and </w:t>
      </w:r>
      <w:r w:rsidR="00366B85">
        <w:rPr>
          <w:rFonts w:ascii="Arial" w:hAnsi="Arial" w:cs="Arial"/>
          <w:sz w:val="18"/>
          <w:szCs w:val="18"/>
        </w:rPr>
        <w:t xml:space="preserve">for </w:t>
      </w:r>
      <w:r>
        <w:rPr>
          <w:rFonts w:ascii="Arial" w:hAnsi="Arial" w:cs="Arial"/>
          <w:sz w:val="18"/>
          <w:szCs w:val="18"/>
        </w:rPr>
        <w:t>the naloxone 0.4 mg/ml 10 ml vial</w:t>
      </w:r>
      <w:r w:rsidR="000A1467">
        <w:rPr>
          <w:rFonts w:ascii="Arial" w:hAnsi="Arial" w:cs="Arial"/>
          <w:sz w:val="18"/>
          <w:szCs w:val="18"/>
        </w:rPr>
        <w:t>; requests</w:t>
      </w:r>
      <w:r w:rsidRPr="00464DAF">
        <w:rPr>
          <w:rFonts w:ascii="Arial" w:hAnsi="Arial" w:cs="Arial"/>
          <w:sz w:val="18"/>
          <w:szCs w:val="18"/>
        </w:rPr>
        <w:t xml:space="preserve"> will be reviewed on a case-by-case basis</w:t>
      </w:r>
      <w:r>
        <w:rPr>
          <w:rFonts w:ascii="Arial" w:hAnsi="Arial" w:cs="Arial"/>
          <w:sz w:val="18"/>
          <w:szCs w:val="18"/>
        </w:rPr>
        <w:t xml:space="preserve">.  </w:t>
      </w:r>
    </w:p>
    <w:p w:rsidR="005C2374" w:rsidRDefault="005C2374" w:rsidP="00646DAD">
      <w:pPr>
        <w:ind w:left="1440"/>
        <w:rPr>
          <w:rFonts w:ascii="Arial" w:hAnsi="Arial" w:cs="Arial"/>
          <w:sz w:val="18"/>
          <w:szCs w:val="18"/>
        </w:rPr>
      </w:pPr>
    </w:p>
    <w:p w:rsidR="00646DAD" w:rsidRDefault="00646DAD" w:rsidP="00646DAD">
      <w:pPr>
        <w:ind w:left="1440"/>
        <w:rPr>
          <w:rFonts w:ascii="Arial" w:hAnsi="Arial" w:cs="Arial"/>
          <w:sz w:val="18"/>
          <w:szCs w:val="18"/>
        </w:rPr>
      </w:pPr>
      <w:r>
        <w:rPr>
          <w:rFonts w:ascii="Arial" w:hAnsi="Arial" w:cs="Arial"/>
          <w:sz w:val="18"/>
          <w:szCs w:val="18"/>
        </w:rPr>
        <w:t>The naloxone 0.4 mg/</w:t>
      </w:r>
      <w:r w:rsidR="000A1467">
        <w:rPr>
          <w:rFonts w:ascii="Arial" w:hAnsi="Arial" w:cs="Arial"/>
          <w:sz w:val="18"/>
          <w:szCs w:val="18"/>
        </w:rPr>
        <w:t xml:space="preserve">1 </w:t>
      </w:r>
      <w:r>
        <w:rPr>
          <w:rFonts w:ascii="Arial" w:hAnsi="Arial" w:cs="Arial"/>
          <w:sz w:val="18"/>
          <w:szCs w:val="18"/>
        </w:rPr>
        <w:t>ml syringe, the naloxone 0.4 mg/</w:t>
      </w:r>
      <w:r w:rsidR="000A1467">
        <w:rPr>
          <w:rFonts w:ascii="Arial" w:hAnsi="Arial" w:cs="Arial"/>
          <w:sz w:val="18"/>
          <w:szCs w:val="18"/>
        </w:rPr>
        <w:t xml:space="preserve">1 </w:t>
      </w:r>
      <w:r>
        <w:rPr>
          <w:rFonts w:ascii="Arial" w:hAnsi="Arial" w:cs="Arial"/>
          <w:sz w:val="18"/>
          <w:szCs w:val="18"/>
        </w:rPr>
        <w:t xml:space="preserve">ml vial, and the naloxone 2 mg/2 ml syringe are available without prior authorization. </w:t>
      </w:r>
    </w:p>
    <w:p w:rsidR="00646DAD" w:rsidRPr="004A5E69" w:rsidRDefault="00646DAD" w:rsidP="00646DAD">
      <w:pPr>
        <w:pStyle w:val="ListParagraph"/>
        <w:ind w:left="1440"/>
        <w:rPr>
          <w:rFonts w:ascii="Arial" w:hAnsi="Arial" w:cs="Arial"/>
          <w:sz w:val="18"/>
          <w:szCs w:val="18"/>
        </w:rPr>
      </w:pPr>
    </w:p>
    <w:p w:rsidR="00646DAD" w:rsidRDefault="00646DAD" w:rsidP="00646DAD">
      <w:pPr>
        <w:pStyle w:val="ListParagraph"/>
        <w:tabs>
          <w:tab w:val="left" w:pos="1095"/>
        </w:tabs>
        <w:ind w:left="1080"/>
        <w:rPr>
          <w:rFonts w:ascii="Arial" w:hAnsi="Arial" w:cs="Arial"/>
          <w:b/>
          <w:sz w:val="18"/>
          <w:szCs w:val="18"/>
        </w:rPr>
      </w:pPr>
      <w:r>
        <w:rPr>
          <w:rFonts w:ascii="Arial" w:hAnsi="Arial" w:cs="Arial"/>
          <w:b/>
          <w:sz w:val="18"/>
          <w:szCs w:val="18"/>
        </w:rPr>
        <w:tab/>
      </w: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Pr="00464DAF">
        <w:rPr>
          <w:rFonts w:ascii="Arial" w:hAnsi="Arial" w:cs="Arial"/>
          <w:b/>
          <w:sz w:val="18"/>
          <w:szCs w:val="18"/>
        </w:rPr>
        <w:t xml:space="preserve">.  </w:t>
      </w:r>
    </w:p>
    <w:p w:rsidR="00366B85" w:rsidRDefault="00243E98" w:rsidP="00243E98">
      <w:pPr>
        <w:pStyle w:val="ListParagraph"/>
        <w:numPr>
          <w:ilvl w:val="1"/>
          <w:numId w:val="6"/>
        </w:numPr>
        <w:rPr>
          <w:rFonts w:ascii="Arial" w:hAnsi="Arial" w:cs="Arial"/>
          <w:b/>
          <w:sz w:val="18"/>
          <w:szCs w:val="18"/>
          <w:u w:val="single"/>
        </w:rPr>
      </w:pPr>
      <w:r w:rsidRPr="00243E98">
        <w:rPr>
          <w:rFonts w:ascii="Arial" w:hAnsi="Arial" w:cs="Arial"/>
          <w:b/>
          <w:sz w:val="18"/>
          <w:szCs w:val="18"/>
          <w:u w:val="single"/>
        </w:rPr>
        <w:t>Sitavig</w:t>
      </w:r>
      <w:r>
        <w:rPr>
          <w:rFonts w:ascii="Arial" w:hAnsi="Arial" w:cs="Arial"/>
          <w:b/>
          <w:sz w:val="18"/>
          <w:szCs w:val="18"/>
          <w:u w:val="single"/>
        </w:rPr>
        <w:t>®</w:t>
      </w:r>
      <w:r w:rsidRPr="00243E98">
        <w:rPr>
          <w:rFonts w:ascii="Arial" w:hAnsi="Arial" w:cs="Arial"/>
          <w:b/>
          <w:sz w:val="18"/>
          <w:szCs w:val="18"/>
          <w:u w:val="single"/>
        </w:rPr>
        <w:t xml:space="preserve"> (acyclovir) tablet, orally disintegrating, delayed release</w:t>
      </w:r>
      <w:r w:rsidR="00366B85" w:rsidRPr="00366B85">
        <w:rPr>
          <w:rFonts w:ascii="Arial" w:hAnsi="Arial" w:cs="Arial"/>
          <w:b/>
          <w:sz w:val="18"/>
          <w:szCs w:val="18"/>
          <w:u w:val="single"/>
        </w:rPr>
        <w:t>:</w:t>
      </w:r>
    </w:p>
    <w:p w:rsidR="00366B85" w:rsidRDefault="008B5595" w:rsidP="00366B85">
      <w:pPr>
        <w:pStyle w:val="ListParagraph"/>
        <w:ind w:left="1440"/>
        <w:rPr>
          <w:rFonts w:ascii="Arial" w:hAnsi="Arial" w:cs="Arial"/>
          <w:sz w:val="18"/>
          <w:szCs w:val="18"/>
        </w:rPr>
      </w:pPr>
      <w:r w:rsidRPr="008B5595">
        <w:rPr>
          <w:rFonts w:ascii="Arial" w:hAnsi="Arial" w:cs="Arial"/>
          <w:b/>
          <w:sz w:val="18"/>
          <w:szCs w:val="18"/>
        </w:rPr>
        <w:t>Sitavig®</w:t>
      </w:r>
      <w:r w:rsidR="00366B85" w:rsidRPr="00366B85">
        <w:rPr>
          <w:rFonts w:ascii="Arial" w:hAnsi="Arial" w:cs="Arial"/>
          <w:sz w:val="18"/>
          <w:szCs w:val="18"/>
        </w:rPr>
        <w:t xml:space="preserve"> is indicated for the treatment of recurrent herpes labialis (cold sores) in immunocompetent adults.</w:t>
      </w:r>
      <w:r w:rsidR="00366B85">
        <w:rPr>
          <w:rFonts w:ascii="Arial" w:hAnsi="Arial" w:cs="Arial"/>
          <w:sz w:val="18"/>
          <w:szCs w:val="18"/>
        </w:rPr>
        <w:t xml:space="preserve">  The dose is</w:t>
      </w:r>
      <w:r w:rsidR="00366B85" w:rsidRPr="00366B85">
        <w:rPr>
          <w:rFonts w:ascii="Arial" w:hAnsi="Arial" w:cs="Arial"/>
          <w:sz w:val="18"/>
          <w:szCs w:val="18"/>
        </w:rPr>
        <w:t xml:space="preserve"> one </w:t>
      </w:r>
      <w:r w:rsidRPr="008B5595">
        <w:rPr>
          <w:rFonts w:ascii="Arial" w:hAnsi="Arial" w:cs="Arial"/>
          <w:b/>
          <w:sz w:val="18"/>
          <w:szCs w:val="18"/>
        </w:rPr>
        <w:t>Sitavig®</w:t>
      </w:r>
      <w:r w:rsidR="00366B85" w:rsidRPr="00366B85">
        <w:rPr>
          <w:rFonts w:ascii="Arial" w:hAnsi="Arial" w:cs="Arial"/>
          <w:sz w:val="18"/>
          <w:szCs w:val="18"/>
        </w:rPr>
        <w:t xml:space="preserve"> 50 mg buccal tablet applied as a single dose to the upper gum region (canine fossa).</w:t>
      </w:r>
    </w:p>
    <w:p w:rsidR="00366B85" w:rsidRPr="00366B85" w:rsidRDefault="00366B85" w:rsidP="00366B85">
      <w:pPr>
        <w:pStyle w:val="ListParagraph"/>
        <w:ind w:left="1440"/>
        <w:rPr>
          <w:rFonts w:ascii="Arial" w:hAnsi="Arial" w:cs="Arial"/>
          <w:sz w:val="18"/>
          <w:szCs w:val="18"/>
        </w:rPr>
      </w:pPr>
    </w:p>
    <w:p w:rsidR="00366B85" w:rsidRDefault="00366B85" w:rsidP="00366B85">
      <w:pPr>
        <w:pStyle w:val="ListParagraph"/>
        <w:ind w:left="1440"/>
        <w:rPr>
          <w:rFonts w:ascii="Arial" w:hAnsi="Arial" w:cs="Arial"/>
          <w:sz w:val="18"/>
          <w:szCs w:val="18"/>
        </w:rPr>
      </w:pPr>
      <w:r>
        <w:rPr>
          <w:rFonts w:ascii="Arial" w:hAnsi="Arial" w:cs="Arial"/>
          <w:sz w:val="18"/>
          <w:szCs w:val="18"/>
        </w:rPr>
        <w:t>The reimbursement rate is</w:t>
      </w:r>
      <w:r w:rsidRPr="00366B85">
        <w:rPr>
          <w:rFonts w:ascii="Arial" w:hAnsi="Arial" w:cs="Arial"/>
          <w:sz w:val="18"/>
          <w:szCs w:val="18"/>
        </w:rPr>
        <w:t xml:space="preserve"> $161.25 </w:t>
      </w:r>
      <w:r w:rsidR="000A1467">
        <w:rPr>
          <w:rFonts w:ascii="Arial" w:hAnsi="Arial" w:cs="Arial"/>
          <w:sz w:val="18"/>
          <w:szCs w:val="18"/>
        </w:rPr>
        <w:t xml:space="preserve">per </w:t>
      </w:r>
      <w:r w:rsidRPr="00366B85">
        <w:rPr>
          <w:rFonts w:ascii="Arial" w:hAnsi="Arial" w:cs="Arial"/>
          <w:sz w:val="18"/>
          <w:szCs w:val="18"/>
        </w:rPr>
        <w:t xml:space="preserve">each tablet.  </w:t>
      </w:r>
      <w:r>
        <w:rPr>
          <w:rFonts w:ascii="Arial" w:hAnsi="Arial" w:cs="Arial"/>
          <w:sz w:val="18"/>
          <w:szCs w:val="18"/>
        </w:rPr>
        <w:t>The product is p</w:t>
      </w:r>
      <w:r w:rsidRPr="00366B85">
        <w:rPr>
          <w:rFonts w:ascii="Arial" w:hAnsi="Arial" w:cs="Arial"/>
          <w:sz w:val="18"/>
          <w:szCs w:val="18"/>
        </w:rPr>
        <w:t>ackaged as 2 tablets</w:t>
      </w:r>
      <w:r>
        <w:rPr>
          <w:rFonts w:ascii="Arial" w:hAnsi="Arial" w:cs="Arial"/>
          <w:sz w:val="18"/>
          <w:szCs w:val="18"/>
        </w:rPr>
        <w:t xml:space="preserve"> and the inner NDC is not recognized in the Medicaid system.  The reimbursement rate for the 2 tablet package is</w:t>
      </w:r>
      <w:r w:rsidRPr="00366B85">
        <w:rPr>
          <w:rFonts w:ascii="Arial" w:hAnsi="Arial" w:cs="Arial"/>
          <w:sz w:val="18"/>
          <w:szCs w:val="18"/>
        </w:rPr>
        <w:t xml:space="preserve"> $322.50</w:t>
      </w:r>
      <w:r>
        <w:rPr>
          <w:rFonts w:ascii="Arial" w:hAnsi="Arial" w:cs="Arial"/>
          <w:sz w:val="18"/>
          <w:szCs w:val="18"/>
        </w:rPr>
        <w:t>.</w:t>
      </w:r>
    </w:p>
    <w:p w:rsidR="00366B85" w:rsidRPr="00366B85" w:rsidRDefault="00366B85" w:rsidP="00366B85">
      <w:pPr>
        <w:pStyle w:val="ListParagraph"/>
        <w:ind w:left="1440"/>
        <w:rPr>
          <w:rFonts w:ascii="Arial" w:hAnsi="Arial" w:cs="Arial"/>
          <w:sz w:val="18"/>
          <w:szCs w:val="18"/>
        </w:rPr>
      </w:pPr>
    </w:p>
    <w:p w:rsidR="00366B85" w:rsidRDefault="00366B85" w:rsidP="00366B85">
      <w:pPr>
        <w:ind w:left="1440"/>
        <w:rPr>
          <w:rFonts w:ascii="Arial" w:hAnsi="Arial" w:cs="Arial"/>
          <w:sz w:val="18"/>
          <w:szCs w:val="18"/>
        </w:rPr>
      </w:pPr>
      <w:r w:rsidRPr="00464DAF">
        <w:rPr>
          <w:rFonts w:ascii="Arial" w:hAnsi="Arial" w:cs="Arial"/>
          <w:sz w:val="18"/>
          <w:szCs w:val="18"/>
        </w:rPr>
        <w:t>Manual Review PA will be required for all requests</w:t>
      </w:r>
      <w:r>
        <w:rPr>
          <w:rFonts w:ascii="Arial" w:hAnsi="Arial" w:cs="Arial"/>
          <w:sz w:val="18"/>
          <w:szCs w:val="18"/>
        </w:rPr>
        <w:t xml:space="preserve"> for </w:t>
      </w:r>
      <w:r w:rsidR="008B5595" w:rsidRPr="008B5595">
        <w:rPr>
          <w:rFonts w:ascii="Arial" w:hAnsi="Arial" w:cs="Arial"/>
          <w:b/>
          <w:sz w:val="18"/>
          <w:szCs w:val="18"/>
        </w:rPr>
        <w:t>Sitavig®</w:t>
      </w:r>
      <w:r>
        <w:rPr>
          <w:rFonts w:ascii="Arial" w:hAnsi="Arial" w:cs="Arial"/>
          <w:sz w:val="18"/>
          <w:szCs w:val="18"/>
        </w:rPr>
        <w:t xml:space="preserve"> and</w:t>
      </w:r>
      <w:r w:rsidRPr="00464DAF">
        <w:rPr>
          <w:rFonts w:ascii="Arial" w:hAnsi="Arial" w:cs="Arial"/>
          <w:sz w:val="18"/>
          <w:szCs w:val="18"/>
        </w:rPr>
        <w:t xml:space="preserve"> will be reviewed on a case-by-case basis</w:t>
      </w:r>
      <w:r>
        <w:rPr>
          <w:rFonts w:ascii="Arial" w:hAnsi="Arial" w:cs="Arial"/>
          <w:sz w:val="18"/>
          <w:szCs w:val="18"/>
        </w:rPr>
        <w:t>.</w:t>
      </w:r>
    </w:p>
    <w:p w:rsidR="00366B85" w:rsidRPr="004A5E69" w:rsidRDefault="00366B85" w:rsidP="00366B85">
      <w:pPr>
        <w:pStyle w:val="ListParagraph"/>
        <w:ind w:left="1440"/>
        <w:rPr>
          <w:rFonts w:ascii="Arial" w:hAnsi="Arial" w:cs="Arial"/>
          <w:sz w:val="18"/>
          <w:szCs w:val="18"/>
        </w:rPr>
      </w:pPr>
    </w:p>
    <w:p w:rsidR="00366B85" w:rsidRDefault="00366B85" w:rsidP="00366B85">
      <w:pPr>
        <w:pStyle w:val="ListParagraph"/>
        <w:tabs>
          <w:tab w:val="left" w:pos="1095"/>
        </w:tabs>
        <w:ind w:left="1080"/>
        <w:rPr>
          <w:rFonts w:ascii="Arial" w:hAnsi="Arial" w:cs="Arial"/>
          <w:b/>
          <w:sz w:val="18"/>
          <w:szCs w:val="18"/>
        </w:rPr>
      </w:pPr>
      <w:r>
        <w:rPr>
          <w:rFonts w:ascii="Arial" w:hAnsi="Arial" w:cs="Arial"/>
          <w:b/>
          <w:sz w:val="18"/>
          <w:szCs w:val="18"/>
        </w:rPr>
        <w:tab/>
      </w: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Pr="00464DAF">
        <w:rPr>
          <w:rFonts w:ascii="Arial" w:hAnsi="Arial" w:cs="Arial"/>
          <w:b/>
          <w:sz w:val="18"/>
          <w:szCs w:val="18"/>
        </w:rPr>
        <w:t xml:space="preserve">.  </w:t>
      </w:r>
    </w:p>
    <w:p w:rsidR="00366B85" w:rsidRPr="00366B85" w:rsidRDefault="00366B85" w:rsidP="00646DAD">
      <w:pPr>
        <w:pStyle w:val="ListParagraph"/>
        <w:tabs>
          <w:tab w:val="left" w:pos="1095"/>
        </w:tabs>
        <w:ind w:left="1080"/>
        <w:rPr>
          <w:rFonts w:ascii="Arial" w:hAnsi="Arial" w:cs="Arial"/>
          <w:sz w:val="18"/>
          <w:szCs w:val="18"/>
        </w:rPr>
      </w:pPr>
    </w:p>
    <w:p w:rsidR="00693A64" w:rsidRPr="00131B2F" w:rsidRDefault="00693A64" w:rsidP="00131B2F">
      <w:pPr>
        <w:pStyle w:val="ListParagraph"/>
        <w:ind w:left="1440"/>
        <w:rPr>
          <w:rFonts w:ascii="Arial" w:hAnsi="Arial" w:cs="Arial"/>
          <w:sz w:val="18"/>
          <w:szCs w:val="18"/>
        </w:rPr>
      </w:pPr>
    </w:p>
    <w:p w:rsidR="00227AD3" w:rsidRDefault="00227AD3" w:rsidP="00227AD3">
      <w:pPr>
        <w:rPr>
          <w:rFonts w:ascii="Arial" w:hAnsi="Arial" w:cs="Arial"/>
          <w:b/>
          <w:sz w:val="18"/>
          <w:szCs w:val="18"/>
        </w:rPr>
      </w:pPr>
      <w:r w:rsidRPr="00464DAF">
        <w:rPr>
          <w:rFonts w:ascii="Arial" w:hAnsi="Arial" w:cs="Arial"/>
          <w:b/>
          <w:sz w:val="18"/>
          <w:szCs w:val="18"/>
        </w:rPr>
        <w:t>FRIENDLY REMINDERS:</w:t>
      </w:r>
    </w:p>
    <w:p w:rsidR="0025100D" w:rsidRDefault="0025100D" w:rsidP="00227AD3">
      <w:pPr>
        <w:rPr>
          <w:rFonts w:ascii="Arial" w:hAnsi="Arial" w:cs="Arial"/>
          <w:b/>
          <w:sz w:val="18"/>
          <w:szCs w:val="18"/>
        </w:rPr>
      </w:pPr>
    </w:p>
    <w:p w:rsidR="0025100D" w:rsidRDefault="00FA71CA" w:rsidP="0025100D">
      <w:pPr>
        <w:pStyle w:val="ListParagraph"/>
        <w:autoSpaceDE w:val="0"/>
        <w:autoSpaceDN w:val="0"/>
        <w:adjustRightInd w:val="0"/>
        <w:ind w:left="0"/>
        <w:rPr>
          <w:rFonts w:ascii="Arial" w:hAnsi="Arial" w:cs="Arial"/>
          <w:b/>
          <w:sz w:val="18"/>
          <w:szCs w:val="18"/>
        </w:rPr>
      </w:pPr>
      <w:r>
        <w:rPr>
          <w:noProof/>
        </w:rPr>
        <w:pict>
          <v:shapetype id="_x0000_t202" coordsize="21600,21600" o:spt="202" path="m,l,21600r21600,l21600,xe">
            <v:stroke joinstyle="miter"/>
            <v:path gradientshapeok="t" o:connecttype="rect"/>
          </v:shapetype>
          <v:shape id="Text Box 4" o:spid="_x0000_s1026" type="#_x0000_t202" style="position:absolute;margin-left:-3.5pt;margin-top:2.4pt;width:2in;height:2in;z-index:25165772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" filled="f" strokeweight="1.25pt">
            <v:textbox style="mso-fit-shape-to-text:t">
              <w:txbxContent>
                <w:p w:rsidR="0025100D" w:rsidRPr="00356343" w:rsidRDefault="0025100D" w:rsidP="0025100D">
                  <w:pPr>
                    <w:pStyle w:val="ListParagraph"/>
                    <w:autoSpaceDE w:val="0"/>
                    <w:autoSpaceDN w:val="0"/>
                    <w:adjustRightInd w:val="0"/>
                    <w:ind w:left="0"/>
                    <w:jc w:val="center"/>
                    <w:rPr>
                      <w:rFonts w:ascii="Arial" w:hAnsi="Arial" w:cs="Arial"/>
                      <w:lang/>
                    </w:rPr>
                  </w:pPr>
                  <w:r w:rsidRPr="00356343">
                    <w:rPr>
                      <w:rFonts w:ascii="Arial" w:hAnsi="Arial" w:cs="Arial"/>
                      <w:b/>
                    </w:rPr>
                    <w:t>ICD-10 implementation deadline has been</w:t>
                  </w:r>
                  <w:r>
                    <w:rPr>
                      <w:rFonts w:ascii="Arial" w:hAnsi="Arial" w:cs="Arial"/>
                      <w:b/>
                    </w:rPr>
                    <w:t xml:space="preserve"> postponed</w:t>
                  </w:r>
                  <w:r w:rsidRPr="00356343">
                    <w:rPr>
                      <w:rFonts w:ascii="Arial" w:hAnsi="Arial" w:cs="Arial"/>
                      <w:b/>
                    </w:rPr>
                    <w:t xml:space="preserve"> by CMS to Oct. 1, 2015.  </w:t>
                  </w:r>
                </w:p>
              </w:txbxContent>
            </v:textbox>
            <w10:wrap type="square"/>
          </v:shape>
        </w:pict>
      </w:r>
    </w:p>
    <w:p w:rsidR="00702568" w:rsidRPr="00A94B77" w:rsidRDefault="000A1467" w:rsidP="00A94B77">
      <w:pPr>
        <w:pStyle w:val="ListParagraph"/>
        <w:numPr>
          <w:ilvl w:val="0"/>
          <w:numId w:val="7"/>
        </w:numPr>
        <w:rPr>
          <w:rFonts w:ascii="Arial" w:hAnsi="Arial" w:cs="Arial"/>
          <w:sz w:val="18"/>
          <w:szCs w:val="18"/>
        </w:rPr>
      </w:pPr>
      <w:r w:rsidRPr="00A94B77">
        <w:rPr>
          <w:rFonts w:ascii="Arial" w:hAnsi="Arial" w:cs="Arial"/>
          <w:b/>
          <w:sz w:val="18"/>
          <w:szCs w:val="18"/>
          <w:u w:val="single"/>
        </w:rPr>
        <w:t>INCARCERATED PERSONS</w:t>
      </w:r>
      <w:r w:rsidR="00702568" w:rsidRPr="00A94B77">
        <w:rPr>
          <w:rFonts w:ascii="Arial" w:hAnsi="Arial" w:cs="Arial"/>
          <w:sz w:val="18"/>
          <w:szCs w:val="18"/>
        </w:rPr>
        <w:t xml:space="preserve">: The Medicaid Pharmacy Program is prohibited by federal regulations, 42 C.F.R. §435.1009 and §435.1010, from paying for drug claims for Medicaid </w:t>
      </w:r>
      <w:r w:rsidR="002A48F0">
        <w:rPr>
          <w:rFonts w:ascii="Arial" w:hAnsi="Arial" w:cs="Arial"/>
          <w:sz w:val="18"/>
          <w:szCs w:val="18"/>
        </w:rPr>
        <w:t>beneficiaries</w:t>
      </w:r>
      <w:r w:rsidR="00702568" w:rsidRPr="00A94B77">
        <w:rPr>
          <w:rFonts w:ascii="Arial" w:hAnsi="Arial" w:cs="Arial"/>
          <w:sz w:val="18"/>
          <w:szCs w:val="18"/>
        </w:rPr>
        <w:t xml:space="preserve"> who, on the date the prescription is filled, are incarcerated in a correctional or holding facility for individuals who are prisoners, including juvenile correctional facilities, are detained pending disposition of charges, or are held under court order as material witnesses.  If medications are requested for incarcerated Medicaid </w:t>
      </w:r>
      <w:r w:rsidR="002A48F0">
        <w:rPr>
          <w:rFonts w:ascii="Arial" w:hAnsi="Arial" w:cs="Arial"/>
          <w:sz w:val="18"/>
          <w:szCs w:val="18"/>
        </w:rPr>
        <w:t>beneficiaries</w:t>
      </w:r>
      <w:r w:rsidR="00702568" w:rsidRPr="00A94B77">
        <w:rPr>
          <w:rFonts w:ascii="Arial" w:hAnsi="Arial" w:cs="Arial"/>
          <w:sz w:val="18"/>
          <w:szCs w:val="18"/>
        </w:rPr>
        <w:t xml:space="preserve">, the medications cannot be billed to Medicaid Pharmacy Program and are subject to recoupment.  Pharmacists should contact the correctional facility regarding the facility’s reimbursement procedures for the requested medications.   </w:t>
      </w:r>
    </w:p>
    <w:p w:rsidR="00702568" w:rsidRPr="00702568" w:rsidRDefault="00702568" w:rsidP="00702568">
      <w:pPr>
        <w:pStyle w:val="ListParagraph"/>
        <w:ind w:left="360"/>
        <w:rPr>
          <w:rFonts w:ascii="Arial" w:hAnsi="Arial" w:cs="Arial"/>
          <w:sz w:val="18"/>
          <w:szCs w:val="18"/>
        </w:rPr>
      </w:pPr>
    </w:p>
    <w:p w:rsidR="00A94B77" w:rsidRDefault="00B167DF" w:rsidP="00A94B77">
      <w:pPr>
        <w:pStyle w:val="ListParagraph"/>
        <w:numPr>
          <w:ilvl w:val="0"/>
          <w:numId w:val="7"/>
        </w:numPr>
        <w:rPr>
          <w:rFonts w:ascii="Arial" w:hAnsi="Arial" w:cs="Arial"/>
          <w:sz w:val="18"/>
          <w:szCs w:val="18"/>
        </w:rPr>
      </w:pPr>
      <w:r w:rsidRPr="00464DAF">
        <w:rPr>
          <w:rFonts w:ascii="Arial" w:hAnsi="Arial" w:cs="Arial"/>
          <w:b/>
          <w:sz w:val="18"/>
          <w:szCs w:val="18"/>
          <w:u w:val="single"/>
        </w:rPr>
        <w:t>ANTIPSYCHOTIC AGENT</w:t>
      </w:r>
      <w:r w:rsidR="000A1467">
        <w:rPr>
          <w:rFonts w:ascii="Arial" w:hAnsi="Arial" w:cs="Arial"/>
          <w:b/>
          <w:sz w:val="18"/>
          <w:szCs w:val="18"/>
          <w:u w:val="single"/>
        </w:rPr>
        <w:t>S</w:t>
      </w:r>
      <w:r w:rsidRPr="00464DAF">
        <w:rPr>
          <w:rFonts w:ascii="Arial" w:hAnsi="Arial" w:cs="Arial"/>
          <w:b/>
          <w:sz w:val="18"/>
          <w:szCs w:val="18"/>
          <w:u w:val="single"/>
        </w:rPr>
        <w:t xml:space="preserve"> CRITERIA FOR CHILDREN &lt; 18 YOA</w:t>
      </w:r>
      <w:r w:rsidRPr="00A94B77">
        <w:rPr>
          <w:rFonts w:ascii="Arial" w:hAnsi="Arial" w:cs="Arial"/>
          <w:b/>
          <w:sz w:val="18"/>
          <w:szCs w:val="18"/>
          <w:u w:val="single"/>
        </w:rPr>
        <w:t xml:space="preserve"> have an ongoing requirement for labs</w:t>
      </w:r>
      <w:r w:rsidRPr="00A94B77">
        <w:rPr>
          <w:rFonts w:ascii="Arial" w:hAnsi="Arial" w:cs="Arial"/>
          <w:sz w:val="18"/>
          <w:szCs w:val="18"/>
        </w:rPr>
        <w:t xml:space="preserve"> for metabolic monitoring.  When any provider sends a patient who is less than 18 y</w:t>
      </w:r>
      <w:r w:rsidR="00830A5C" w:rsidRPr="00A94B77">
        <w:rPr>
          <w:rFonts w:ascii="Arial" w:hAnsi="Arial" w:cs="Arial"/>
          <w:sz w:val="18"/>
          <w:szCs w:val="18"/>
        </w:rPr>
        <w:t>ea</w:t>
      </w:r>
      <w:r w:rsidRPr="00A94B77">
        <w:rPr>
          <w:rFonts w:ascii="Arial" w:hAnsi="Arial" w:cs="Arial"/>
          <w:sz w:val="18"/>
          <w:szCs w:val="18"/>
        </w:rPr>
        <w:t xml:space="preserve">rs of age for the metabolic labs that are required for the antipsychotic agents, the provider must include the PCP’s name and Medicaid ID </w:t>
      </w:r>
      <w:r w:rsidRPr="00A94B77">
        <w:rPr>
          <w:rFonts w:ascii="Arial" w:hAnsi="Arial" w:cs="Arial"/>
          <w:sz w:val="18"/>
          <w:szCs w:val="18"/>
        </w:rPr>
        <w:lastRenderedPageBreak/>
        <w:t xml:space="preserve">number on the lab order request form.  It does not have to be the PCP ordering the labs.  Please refer to the Physician/Independent Lab/CRNA/Radiation Therapy Center Provider Manual, </w:t>
      </w:r>
      <w:r w:rsidR="00830A5C" w:rsidRPr="00A94B77">
        <w:rPr>
          <w:rFonts w:ascii="Arial" w:hAnsi="Arial" w:cs="Arial"/>
          <w:sz w:val="18"/>
          <w:szCs w:val="18"/>
        </w:rPr>
        <w:t>S</w:t>
      </w:r>
      <w:r w:rsidRPr="00A94B77">
        <w:rPr>
          <w:rFonts w:ascii="Arial" w:hAnsi="Arial" w:cs="Arial"/>
          <w:sz w:val="18"/>
          <w:szCs w:val="18"/>
        </w:rPr>
        <w:t>ection II, 245.000 B.</w:t>
      </w:r>
      <w:r w:rsidR="00A94B77" w:rsidRPr="00A94B77">
        <w:rPr>
          <w:rFonts w:ascii="Arial" w:hAnsi="Arial" w:cs="Arial"/>
          <w:sz w:val="18"/>
          <w:szCs w:val="18"/>
        </w:rPr>
        <w:t xml:space="preserve">  </w:t>
      </w:r>
    </w:p>
    <w:p w:rsidR="00A94B77" w:rsidRPr="00A94B77" w:rsidRDefault="00A94B77" w:rsidP="00A94B77">
      <w:pPr>
        <w:pStyle w:val="ListParagraph"/>
        <w:rPr>
          <w:rFonts w:ascii="Arial" w:hAnsi="Arial" w:cs="Arial"/>
          <w:sz w:val="18"/>
          <w:szCs w:val="18"/>
        </w:rPr>
      </w:pPr>
    </w:p>
    <w:p w:rsidR="00A94B77" w:rsidRPr="00464DAF" w:rsidRDefault="00A94B77" w:rsidP="00A94B77">
      <w:pPr>
        <w:pStyle w:val="ListParagraph"/>
        <w:numPr>
          <w:ilvl w:val="0"/>
          <w:numId w:val="7"/>
        </w:numPr>
        <w:rPr>
          <w:rFonts w:ascii="Arial" w:hAnsi="Arial" w:cs="Arial"/>
          <w:b/>
          <w:sz w:val="18"/>
          <w:szCs w:val="18"/>
          <w:u w:val="single"/>
        </w:rPr>
      </w:pPr>
      <w:r w:rsidRPr="00464DAF">
        <w:rPr>
          <w:rFonts w:ascii="Arial" w:hAnsi="Arial" w:cs="Arial"/>
          <w:b/>
          <w:sz w:val="18"/>
          <w:szCs w:val="18"/>
          <w:u w:val="single"/>
        </w:rPr>
        <w:t>CHANGES TO INFORMED CONSENT FORM FOR ANTIPSYCHOTIC AGENT PA FOR CHILDREN &lt; 18 YOA:</w:t>
      </w:r>
    </w:p>
    <w:p w:rsidR="00A94B77" w:rsidRPr="00A94B77" w:rsidRDefault="00A94B77" w:rsidP="00A94B77">
      <w:pPr>
        <w:pStyle w:val="ListParagraph"/>
        <w:ind w:left="360"/>
        <w:rPr>
          <w:rFonts w:ascii="Arial" w:hAnsi="Arial" w:cs="Arial"/>
          <w:sz w:val="18"/>
          <w:szCs w:val="18"/>
        </w:rPr>
      </w:pPr>
      <w:r w:rsidRPr="00A94B77">
        <w:rPr>
          <w:rFonts w:ascii="Arial" w:hAnsi="Arial" w:cs="Arial"/>
          <w:sz w:val="18"/>
          <w:szCs w:val="18"/>
        </w:rPr>
        <w:t>For those providers who have not had their own version of the Informed Consent form approved for use with Medicaid PA requests and who use the Medicaid Informed Consent form for antipsychotic agents, the form has been updated (v010914) and is posted on the Medicaid website.  As the form is updated and posted on the Medicaid website, providers are required to use the most current form.  Effective, Dec. 10, 2013, the old versions will no longer be accepted.</w:t>
      </w:r>
    </w:p>
    <w:p w:rsidR="00A94B77" w:rsidRPr="00614A66" w:rsidRDefault="00A94B77" w:rsidP="00A94B77">
      <w:pPr>
        <w:pStyle w:val="ListParagraph"/>
        <w:ind w:left="360"/>
        <w:rPr>
          <w:rFonts w:ascii="Arial" w:hAnsi="Arial" w:cs="Arial"/>
          <w:b/>
          <w:sz w:val="16"/>
          <w:szCs w:val="16"/>
          <w:u w:val="single"/>
        </w:rPr>
      </w:pPr>
    </w:p>
    <w:p w:rsidR="00A94B77" w:rsidRDefault="00A94B77" w:rsidP="00A94B77">
      <w:pPr>
        <w:pStyle w:val="ListParagraph"/>
        <w:numPr>
          <w:ilvl w:val="0"/>
          <w:numId w:val="7"/>
        </w:numPr>
        <w:rPr>
          <w:rFonts w:ascii="Arial" w:hAnsi="Arial" w:cs="Arial"/>
          <w:sz w:val="18"/>
          <w:szCs w:val="18"/>
        </w:rPr>
      </w:pPr>
      <w:r w:rsidRPr="00464DAF">
        <w:rPr>
          <w:rFonts w:ascii="Arial" w:hAnsi="Arial" w:cs="Arial"/>
          <w:b/>
          <w:sz w:val="18"/>
          <w:szCs w:val="18"/>
          <w:u w:val="single"/>
        </w:rPr>
        <w:t xml:space="preserve">FOR </w:t>
      </w:r>
      <w:r>
        <w:rPr>
          <w:rFonts w:ascii="Arial" w:hAnsi="Arial" w:cs="Arial"/>
          <w:b/>
          <w:sz w:val="18"/>
          <w:szCs w:val="18"/>
          <w:u w:val="single"/>
        </w:rPr>
        <w:t xml:space="preserve">PDL REQUESTS AND FOR </w:t>
      </w:r>
      <w:r w:rsidRPr="00464DAF">
        <w:rPr>
          <w:rFonts w:ascii="Arial" w:hAnsi="Arial" w:cs="Arial"/>
          <w:b/>
          <w:sz w:val="18"/>
          <w:szCs w:val="18"/>
          <w:u w:val="single"/>
        </w:rPr>
        <w:t>REQUESTS FOR ANTIPSYCHOTIC DRUGS</w:t>
      </w:r>
      <w:r w:rsidRPr="00A94B77">
        <w:rPr>
          <w:rFonts w:ascii="Arial" w:hAnsi="Arial" w:cs="Arial"/>
          <w:sz w:val="18"/>
          <w:szCs w:val="18"/>
        </w:rPr>
        <w:t xml:space="preserve">: Providers requesting a Prior Authorization (PA) for a drug on the PDL or requesting a Prior Authorization (PA) for an antipsychotic medication should contact the Evidence-based Prescription Drug Program (EBRx) PA Call Center Toll Free 1-866-250-2518 or Local 501-526-4200 or Fax 501-526-4188. Please include any supporting documentation for the request with the fax, and include </w:t>
      </w:r>
      <w:r w:rsidR="002A48F0">
        <w:rPr>
          <w:rFonts w:ascii="Arial" w:hAnsi="Arial" w:cs="Arial"/>
          <w:sz w:val="18"/>
          <w:szCs w:val="18"/>
        </w:rPr>
        <w:t>beneficiary</w:t>
      </w:r>
      <w:r w:rsidRPr="00A94B77">
        <w:rPr>
          <w:rFonts w:ascii="Arial" w:hAnsi="Arial" w:cs="Arial"/>
          <w:sz w:val="18"/>
          <w:szCs w:val="18"/>
        </w:rPr>
        <w:t xml:space="preserve"> ID number, </w:t>
      </w:r>
      <w:r w:rsidR="002A48F0">
        <w:rPr>
          <w:rFonts w:ascii="Arial" w:hAnsi="Arial" w:cs="Arial"/>
          <w:sz w:val="18"/>
          <w:szCs w:val="18"/>
        </w:rPr>
        <w:t xml:space="preserve">beneficiary </w:t>
      </w:r>
      <w:r w:rsidRPr="00A94B77">
        <w:rPr>
          <w:rFonts w:ascii="Arial" w:hAnsi="Arial" w:cs="Arial"/>
          <w:sz w:val="18"/>
          <w:szCs w:val="18"/>
        </w:rPr>
        <w:t>name, and Medicaid Provider ID with your request.</w:t>
      </w:r>
    </w:p>
    <w:p w:rsidR="00A94B77" w:rsidRPr="00A94B77" w:rsidRDefault="00A94B77" w:rsidP="00A94B77">
      <w:pPr>
        <w:pStyle w:val="ListParagraph"/>
        <w:rPr>
          <w:rFonts w:ascii="Arial" w:hAnsi="Arial" w:cs="Arial"/>
          <w:sz w:val="18"/>
          <w:szCs w:val="18"/>
        </w:rPr>
      </w:pPr>
    </w:p>
    <w:p w:rsidR="00A94B77" w:rsidRPr="00614A66" w:rsidRDefault="00A94B77" w:rsidP="00A94B77">
      <w:pPr>
        <w:pStyle w:val="ListParagraph"/>
        <w:numPr>
          <w:ilvl w:val="0"/>
          <w:numId w:val="7"/>
        </w:numPr>
        <w:rPr>
          <w:rFonts w:ascii="Arial" w:hAnsi="Arial" w:cs="Arial"/>
          <w:sz w:val="16"/>
          <w:szCs w:val="16"/>
        </w:rPr>
      </w:pPr>
      <w:r w:rsidRPr="00464DAF">
        <w:rPr>
          <w:rFonts w:ascii="Arial" w:hAnsi="Arial" w:cs="Arial"/>
          <w:b/>
          <w:sz w:val="18"/>
          <w:szCs w:val="18"/>
          <w:u w:val="single"/>
        </w:rPr>
        <w:t>FOR NON-PDL</w:t>
      </w:r>
      <w:r w:rsidR="000A1467">
        <w:rPr>
          <w:rFonts w:ascii="Arial" w:hAnsi="Arial" w:cs="Arial"/>
          <w:b/>
          <w:sz w:val="18"/>
          <w:szCs w:val="18"/>
          <w:u w:val="single"/>
        </w:rPr>
        <w:t xml:space="preserve"> DRUGS </w:t>
      </w:r>
      <w:r w:rsidRPr="00464DAF">
        <w:rPr>
          <w:rFonts w:ascii="Arial" w:hAnsi="Arial" w:cs="Arial"/>
          <w:b/>
          <w:sz w:val="18"/>
          <w:szCs w:val="18"/>
          <w:u w:val="single"/>
        </w:rPr>
        <w:t xml:space="preserve">AND </w:t>
      </w:r>
      <w:r w:rsidR="000A1467">
        <w:rPr>
          <w:rFonts w:ascii="Arial" w:hAnsi="Arial" w:cs="Arial"/>
          <w:b/>
          <w:sz w:val="18"/>
          <w:szCs w:val="18"/>
          <w:u w:val="single"/>
        </w:rPr>
        <w:t xml:space="preserve">FOR </w:t>
      </w:r>
      <w:r w:rsidRPr="00464DAF">
        <w:rPr>
          <w:rFonts w:ascii="Arial" w:hAnsi="Arial" w:cs="Arial"/>
          <w:b/>
          <w:sz w:val="18"/>
          <w:szCs w:val="18"/>
          <w:u w:val="single"/>
        </w:rPr>
        <w:t>NON-ANTIPYSCHOTIC DRUG REQUESTS</w:t>
      </w:r>
      <w:r w:rsidRPr="00A94B77">
        <w:rPr>
          <w:rFonts w:ascii="Arial" w:hAnsi="Arial" w:cs="Arial"/>
          <w:b/>
          <w:sz w:val="18"/>
          <w:szCs w:val="18"/>
          <w:u w:val="single"/>
        </w:rPr>
        <w:t xml:space="preserve">: </w:t>
      </w:r>
      <w:r w:rsidRPr="00A94B77">
        <w:rPr>
          <w:rFonts w:ascii="Arial" w:hAnsi="Arial" w:cs="Arial"/>
          <w:sz w:val="18"/>
          <w:szCs w:val="18"/>
        </w:rPr>
        <w:t xml:space="preserve">Providers requesting a Prior Authorization (PA) should call the HP Prescription Drug Help Desk at 1-800-707-3854 or at 1-501-374-6609, extension 500. For Prior Authorization (PA) requests requiring manual review, you may fax your request to the HP Help Desk Fax at 501-372-2971 or to the state office Fax at 501-683-4124. Please include any supporting documentation for the request with the fax, and include </w:t>
      </w:r>
      <w:r w:rsidR="002A48F0">
        <w:rPr>
          <w:rFonts w:ascii="Arial" w:hAnsi="Arial" w:cs="Arial"/>
          <w:sz w:val="18"/>
          <w:szCs w:val="18"/>
        </w:rPr>
        <w:t>beneficiary</w:t>
      </w:r>
      <w:r w:rsidRPr="00A94B77">
        <w:rPr>
          <w:rFonts w:ascii="Arial" w:hAnsi="Arial" w:cs="Arial"/>
          <w:sz w:val="18"/>
          <w:szCs w:val="18"/>
        </w:rPr>
        <w:t xml:space="preserve"> ID number, </w:t>
      </w:r>
      <w:r w:rsidR="002A48F0">
        <w:rPr>
          <w:rFonts w:ascii="Arial" w:hAnsi="Arial" w:cs="Arial"/>
          <w:sz w:val="18"/>
          <w:szCs w:val="18"/>
        </w:rPr>
        <w:t>beneficiary</w:t>
      </w:r>
      <w:r w:rsidRPr="00A94B77">
        <w:rPr>
          <w:rFonts w:ascii="Arial" w:hAnsi="Arial" w:cs="Arial"/>
          <w:sz w:val="18"/>
          <w:szCs w:val="18"/>
        </w:rPr>
        <w:t xml:space="preserve"> name, and Medicaid provider ID with your request. An approval, denial, or request for additional information will be returned by the close of business the following business day.</w:t>
      </w:r>
    </w:p>
    <w:p w:rsidR="00B167DF" w:rsidRPr="00614A66" w:rsidRDefault="00B167DF" w:rsidP="00A94B77">
      <w:pPr>
        <w:pStyle w:val="ListParagraph"/>
        <w:ind w:left="360"/>
        <w:rPr>
          <w:rFonts w:ascii="Arial" w:hAnsi="Arial" w:cs="Arial"/>
          <w:b/>
          <w:sz w:val="16"/>
          <w:szCs w:val="16"/>
          <w:u w:val="single"/>
        </w:rPr>
      </w:pPr>
    </w:p>
    <w:p w:rsidR="006025CC" w:rsidRPr="00614A66" w:rsidRDefault="000A1467" w:rsidP="00A94B77">
      <w:pPr>
        <w:pStyle w:val="ListParagraph"/>
        <w:numPr>
          <w:ilvl w:val="0"/>
          <w:numId w:val="7"/>
        </w:numPr>
        <w:rPr>
          <w:rFonts w:ascii="Arial" w:hAnsi="Arial" w:cs="Arial"/>
          <w:sz w:val="16"/>
          <w:szCs w:val="16"/>
        </w:rPr>
      </w:pPr>
      <w:r w:rsidRPr="00A94B77">
        <w:rPr>
          <w:rFonts w:ascii="Arial" w:hAnsi="Arial" w:cs="Arial"/>
          <w:b/>
          <w:sz w:val="18"/>
          <w:szCs w:val="18"/>
          <w:u w:val="single"/>
        </w:rPr>
        <w:t xml:space="preserve">THE AR MEDICAID PHARMACY PROGRAM REIMBURSES FOR COVERED OUTPATIENT DRUGS FOR </w:t>
      </w:r>
      <w:r w:rsidRPr="002A48F0">
        <w:rPr>
          <w:rFonts w:ascii="Arial" w:hAnsi="Arial" w:cs="Arial"/>
          <w:b/>
          <w:sz w:val="18"/>
          <w:szCs w:val="18"/>
          <w:u w:val="single"/>
        </w:rPr>
        <w:t>MEDICAID BENEFICIARIES</w:t>
      </w:r>
      <w:r w:rsidRPr="00A94B77">
        <w:rPr>
          <w:rFonts w:ascii="Arial" w:hAnsi="Arial" w:cs="Arial"/>
          <w:b/>
          <w:sz w:val="18"/>
          <w:szCs w:val="18"/>
          <w:u w:val="single"/>
        </w:rPr>
        <w:t xml:space="preserve"> WITH PRESCRIPTION DRUG BENEFITS</w:t>
      </w:r>
      <w:r w:rsidR="006025CC" w:rsidRPr="00A94B77">
        <w:rPr>
          <w:rFonts w:ascii="Arial" w:hAnsi="Arial" w:cs="Arial"/>
          <w:b/>
          <w:sz w:val="18"/>
          <w:szCs w:val="18"/>
          <w:u w:val="single"/>
        </w:rPr>
        <w:t xml:space="preserve">. </w:t>
      </w:r>
      <w:r w:rsidR="006025CC" w:rsidRPr="00A94B77">
        <w:rPr>
          <w:rFonts w:ascii="Arial" w:hAnsi="Arial" w:cs="Arial"/>
          <w:sz w:val="18"/>
          <w:szCs w:val="18"/>
        </w:rPr>
        <w:t xml:space="preserve">Only medications prescribed to that </w:t>
      </w:r>
      <w:r w:rsidR="002A48F0">
        <w:rPr>
          <w:rFonts w:ascii="Arial" w:hAnsi="Arial" w:cs="Arial"/>
          <w:sz w:val="18"/>
          <w:szCs w:val="18"/>
        </w:rPr>
        <w:t>beneficiary</w:t>
      </w:r>
      <w:r w:rsidR="006025CC" w:rsidRPr="00A94B77">
        <w:rPr>
          <w:rFonts w:ascii="Arial" w:hAnsi="Arial" w:cs="Arial"/>
          <w:sz w:val="18"/>
          <w:szCs w:val="18"/>
        </w:rPr>
        <w:t xml:space="preserve"> can be billed using the </w:t>
      </w:r>
      <w:r w:rsidR="002A48F0">
        <w:rPr>
          <w:rFonts w:ascii="Arial" w:hAnsi="Arial" w:cs="Arial"/>
          <w:sz w:val="18"/>
          <w:szCs w:val="18"/>
        </w:rPr>
        <w:t xml:space="preserve">beneficiary’s </w:t>
      </w:r>
      <w:r w:rsidR="006025CC" w:rsidRPr="00A94B77">
        <w:rPr>
          <w:rFonts w:ascii="Arial" w:hAnsi="Arial" w:cs="Arial"/>
          <w:sz w:val="18"/>
          <w:szCs w:val="18"/>
        </w:rPr>
        <w:t xml:space="preserve">Medicaid ID. Sanctions may be imposed against a provider for engaging in conduct that defrauds or abuses the Medicaid program. This could include billing a child’s medication to a parent’s Medicaid ID number and vice-versa. </w:t>
      </w:r>
    </w:p>
    <w:p w:rsidR="006025CC" w:rsidRPr="00614A66" w:rsidRDefault="006025CC" w:rsidP="00A94B77">
      <w:pPr>
        <w:pStyle w:val="ListParagraph"/>
        <w:ind w:left="360"/>
        <w:rPr>
          <w:rFonts w:ascii="Arial" w:hAnsi="Arial" w:cs="Arial"/>
          <w:b/>
          <w:sz w:val="16"/>
          <w:szCs w:val="16"/>
          <w:u w:val="single"/>
        </w:rPr>
      </w:pPr>
    </w:p>
    <w:p w:rsidR="00227AD3" w:rsidRPr="00614A66" w:rsidRDefault="00227AD3" w:rsidP="00A94B77">
      <w:pPr>
        <w:pStyle w:val="ListParagraph"/>
        <w:numPr>
          <w:ilvl w:val="0"/>
          <w:numId w:val="7"/>
        </w:numPr>
        <w:rPr>
          <w:rFonts w:ascii="Arial" w:hAnsi="Arial" w:cs="Arial"/>
          <w:sz w:val="16"/>
          <w:szCs w:val="16"/>
        </w:rPr>
      </w:pPr>
      <w:r w:rsidRPr="00A94B77">
        <w:rPr>
          <w:rFonts w:ascii="Arial" w:hAnsi="Arial" w:cs="Arial"/>
          <w:b/>
          <w:sz w:val="18"/>
          <w:szCs w:val="18"/>
          <w:u w:val="single"/>
        </w:rPr>
        <w:t xml:space="preserve">EMERGENCY OVERRIDE: </w:t>
      </w:r>
      <w:r w:rsidRPr="00A94B77">
        <w:rPr>
          <w:rFonts w:ascii="Arial" w:hAnsi="Arial" w:cs="Arial"/>
          <w:sz w:val="18"/>
          <w:szCs w:val="18"/>
        </w:rPr>
        <w:t>In an emergency, for those drugs for which a five-day supply can be dispensed, a pharmacy may dispense up to a five-day supply of a drug that requires clinical criteria or is non-preferred. This provision applies only in an emergency situation and when the HP Enterprise Services Prescription Drug Help Desk is unavailable, Evidence Based Prescription Drug Program Help Desk is unavailable, and the pharmacist is not able to contact the prescribing physician. To file a claim using this emergency provision, the pharmacy provider will submit a “03” in the Level of Service (418-DI) field. Frequency of the emergency override is limited to once per year per class</w:t>
      </w:r>
      <w:r w:rsidR="00C47AF6" w:rsidRPr="00A94B77">
        <w:rPr>
          <w:rFonts w:ascii="Arial" w:hAnsi="Arial" w:cs="Arial"/>
          <w:sz w:val="18"/>
          <w:szCs w:val="18"/>
        </w:rPr>
        <w:t xml:space="preserve"> of drugs</w:t>
      </w:r>
      <w:r w:rsidRPr="00A94B77">
        <w:rPr>
          <w:rFonts w:ascii="Arial" w:hAnsi="Arial" w:cs="Arial"/>
          <w:sz w:val="18"/>
          <w:szCs w:val="18"/>
        </w:rPr>
        <w:t xml:space="preserve"> for non-LTC beneficiaries and once per 60 days per class for LTC beneficiaries. For any Schedule-II controlled substance filled using the Medicaid Emergency Override process, please refer to the Arkansas State Board of Pharmacy regulations regarding partial fill of a Schedule-II controlled substance. </w:t>
      </w:r>
    </w:p>
    <w:p w:rsidR="00227AD3" w:rsidRPr="00614A66" w:rsidRDefault="00227AD3" w:rsidP="00A94B77">
      <w:pPr>
        <w:pStyle w:val="ListParagraph"/>
        <w:ind w:left="360"/>
        <w:rPr>
          <w:rFonts w:ascii="Arial" w:hAnsi="Arial" w:cs="Arial"/>
          <w:sz w:val="16"/>
          <w:szCs w:val="16"/>
        </w:rPr>
      </w:pPr>
    </w:p>
    <w:p w:rsidR="00227AD3" w:rsidRPr="00A94B77" w:rsidRDefault="000A1467" w:rsidP="00A94B77">
      <w:pPr>
        <w:pStyle w:val="ListParagraph"/>
        <w:numPr>
          <w:ilvl w:val="0"/>
          <w:numId w:val="7"/>
        </w:numPr>
        <w:rPr>
          <w:rFonts w:ascii="Arial" w:hAnsi="Arial" w:cs="Arial"/>
          <w:sz w:val="18"/>
          <w:szCs w:val="18"/>
        </w:rPr>
      </w:pPr>
      <w:r w:rsidRPr="00A94B77">
        <w:rPr>
          <w:rFonts w:ascii="Arial" w:hAnsi="Arial" w:cs="Arial"/>
          <w:b/>
          <w:sz w:val="18"/>
          <w:szCs w:val="18"/>
          <w:u w:val="single"/>
        </w:rPr>
        <w:t>ANY REIMBURSEMENT RATES STATED IN THIS MEMORANDUM (OR ANY PREVIOUS MEMORANDUMS) ARE FOR</w:t>
      </w:r>
      <w:r w:rsidR="00227AD3" w:rsidRPr="00A94B77">
        <w:rPr>
          <w:rFonts w:ascii="Arial" w:hAnsi="Arial" w:cs="Arial"/>
          <w:b/>
          <w:sz w:val="18"/>
          <w:szCs w:val="18"/>
          <w:u w:val="single"/>
        </w:rPr>
        <w:t xml:space="preserve"> </w:t>
      </w:r>
      <w:r w:rsidR="00227AD3" w:rsidRPr="00464DAF">
        <w:rPr>
          <w:rFonts w:ascii="Arial" w:hAnsi="Arial" w:cs="Arial"/>
          <w:b/>
          <w:sz w:val="18"/>
          <w:szCs w:val="18"/>
          <w:u w:val="single"/>
        </w:rPr>
        <w:t>REFERENCE PURPOSES ONLY AND SUBJECT TO CHANGE</w:t>
      </w:r>
      <w:r w:rsidR="00C47AF6">
        <w:rPr>
          <w:rFonts w:ascii="Arial" w:hAnsi="Arial" w:cs="Arial"/>
          <w:b/>
          <w:sz w:val="18"/>
          <w:szCs w:val="18"/>
          <w:u w:val="single"/>
        </w:rPr>
        <w:t>,</w:t>
      </w:r>
      <w:r w:rsidR="00227AD3" w:rsidRPr="00A94B77">
        <w:rPr>
          <w:rFonts w:ascii="Arial" w:hAnsi="Arial" w:cs="Arial"/>
          <w:b/>
          <w:sz w:val="18"/>
          <w:szCs w:val="18"/>
          <w:u w:val="single"/>
        </w:rPr>
        <w:t xml:space="preserve"> </w:t>
      </w:r>
      <w:r w:rsidR="00227AD3" w:rsidRPr="00A94B77">
        <w:rPr>
          <w:rFonts w:ascii="Arial" w:hAnsi="Arial" w:cs="Arial"/>
          <w:sz w:val="18"/>
          <w:szCs w:val="18"/>
        </w:rPr>
        <w:t xml:space="preserve">and are in no way </w:t>
      </w:r>
      <w:r w:rsidR="00990859" w:rsidRPr="00A94B77">
        <w:rPr>
          <w:rFonts w:ascii="Arial" w:hAnsi="Arial" w:cs="Arial"/>
          <w:sz w:val="18"/>
          <w:szCs w:val="18"/>
        </w:rPr>
        <w:t>a</w:t>
      </w:r>
      <w:r w:rsidR="00227AD3" w:rsidRPr="00A94B77">
        <w:rPr>
          <w:rFonts w:ascii="Arial" w:hAnsi="Arial" w:cs="Arial"/>
          <w:sz w:val="18"/>
          <w:szCs w:val="18"/>
        </w:rPr>
        <w:t xml:space="preserve"> contractual obligation by Arkansas Medicaid. Current Generic Upper Limits (GUL</w:t>
      </w:r>
      <w:r w:rsidR="00990859" w:rsidRPr="00A94B77">
        <w:rPr>
          <w:rFonts w:ascii="Arial" w:hAnsi="Arial" w:cs="Arial"/>
          <w:sz w:val="18"/>
          <w:szCs w:val="18"/>
        </w:rPr>
        <w:t>)</w:t>
      </w:r>
      <w:r w:rsidR="00227AD3" w:rsidRPr="00A94B77">
        <w:rPr>
          <w:rFonts w:ascii="Arial" w:hAnsi="Arial" w:cs="Arial"/>
          <w:sz w:val="18"/>
          <w:szCs w:val="18"/>
        </w:rPr>
        <w:t xml:space="preserve"> or </w:t>
      </w:r>
      <w:r w:rsidR="00990859" w:rsidRPr="00A94B77">
        <w:rPr>
          <w:rFonts w:ascii="Arial" w:hAnsi="Arial" w:cs="Arial"/>
          <w:sz w:val="18"/>
          <w:szCs w:val="18"/>
        </w:rPr>
        <w:t>Maximum Allowable Cost (</w:t>
      </w:r>
      <w:r w:rsidR="00227AD3" w:rsidRPr="00A94B77">
        <w:rPr>
          <w:rFonts w:ascii="Arial" w:hAnsi="Arial" w:cs="Arial"/>
          <w:sz w:val="18"/>
          <w:szCs w:val="18"/>
        </w:rPr>
        <w:t xml:space="preserve">MAC) that have been issued at the State and </w:t>
      </w:r>
      <w:r w:rsidR="00F91FDD" w:rsidRPr="00A94B77">
        <w:rPr>
          <w:rFonts w:ascii="Arial" w:hAnsi="Arial" w:cs="Arial"/>
          <w:sz w:val="18"/>
          <w:szCs w:val="18"/>
        </w:rPr>
        <w:t xml:space="preserve">or </w:t>
      </w:r>
      <w:r w:rsidR="00227AD3" w:rsidRPr="00A94B77">
        <w:rPr>
          <w:rFonts w:ascii="Arial" w:hAnsi="Arial" w:cs="Arial"/>
          <w:sz w:val="18"/>
          <w:szCs w:val="18"/>
        </w:rPr>
        <w:t xml:space="preserve">Federal level, along with State issued Capped Upper Limits (CAP), can be found on the Arkansas Medicaid website: </w:t>
      </w:r>
      <w:hyperlink r:id="rId15" w:history="1">
        <w:r w:rsidR="00227AD3" w:rsidRPr="00A94B77">
          <w:rPr>
            <w:rFonts w:ascii="Arial" w:hAnsi="Arial" w:cs="Arial"/>
            <w:sz w:val="18"/>
            <w:szCs w:val="18"/>
          </w:rPr>
          <w:t>www.medicaid.state.ar.us</w:t>
        </w:r>
      </w:hyperlink>
      <w:r w:rsidR="00227AD3" w:rsidRPr="00A94B77">
        <w:rPr>
          <w:rFonts w:ascii="Arial" w:hAnsi="Arial" w:cs="Arial"/>
          <w:sz w:val="18"/>
          <w:szCs w:val="18"/>
        </w:rPr>
        <w:t>. EAC is Estimated Acquisition Cost and, in the absence of a federal or state</w:t>
      </w:r>
      <w:r w:rsidR="00F91FDD" w:rsidRPr="00A94B77">
        <w:rPr>
          <w:rFonts w:ascii="Arial" w:hAnsi="Arial" w:cs="Arial"/>
          <w:sz w:val="18"/>
          <w:szCs w:val="18"/>
        </w:rPr>
        <w:t xml:space="preserve"> GUL or</w:t>
      </w:r>
      <w:r w:rsidR="00227AD3" w:rsidRPr="00A94B77">
        <w:rPr>
          <w:rFonts w:ascii="Arial" w:hAnsi="Arial" w:cs="Arial"/>
          <w:sz w:val="18"/>
          <w:szCs w:val="18"/>
        </w:rPr>
        <w:t xml:space="preserve"> MAC, this reimbursement methodology is calculated using AWP-14% for brand agents </w:t>
      </w:r>
      <w:r w:rsidR="00C47AF6" w:rsidRPr="00A94B77">
        <w:rPr>
          <w:rFonts w:ascii="Arial" w:hAnsi="Arial" w:cs="Arial"/>
          <w:sz w:val="18"/>
          <w:szCs w:val="18"/>
        </w:rPr>
        <w:t>and</w:t>
      </w:r>
      <w:r w:rsidR="00227AD3" w:rsidRPr="00A94B77">
        <w:rPr>
          <w:rFonts w:ascii="Arial" w:hAnsi="Arial" w:cs="Arial"/>
          <w:sz w:val="18"/>
          <w:szCs w:val="18"/>
        </w:rPr>
        <w:t xml:space="preserve"> AWP-20% for generic agents. </w:t>
      </w:r>
    </w:p>
    <w:p w:rsidR="00227AD3" w:rsidRPr="00614A66" w:rsidRDefault="00227AD3" w:rsidP="00A94B77">
      <w:pPr>
        <w:pStyle w:val="ListParagraph"/>
        <w:ind w:left="360"/>
        <w:rPr>
          <w:rFonts w:ascii="Arial" w:hAnsi="Arial" w:cs="Arial"/>
          <w:b/>
          <w:sz w:val="16"/>
          <w:szCs w:val="16"/>
          <w:u w:val="single"/>
        </w:rPr>
      </w:pPr>
    </w:p>
    <w:p w:rsidR="00227AD3" w:rsidRPr="000D1C32" w:rsidRDefault="000A1467" w:rsidP="00A94B77">
      <w:pPr>
        <w:pStyle w:val="ListParagraph"/>
        <w:numPr>
          <w:ilvl w:val="0"/>
          <w:numId w:val="7"/>
        </w:numPr>
        <w:rPr>
          <w:rFonts w:ascii="Arial" w:hAnsi="Arial" w:cs="Arial"/>
          <w:b/>
          <w:sz w:val="18"/>
          <w:szCs w:val="18"/>
          <w:u w:val="single"/>
        </w:rPr>
      </w:pPr>
      <w:r w:rsidRPr="000D1C32">
        <w:rPr>
          <w:rFonts w:ascii="Arial" w:hAnsi="Arial" w:cs="Arial"/>
          <w:b/>
          <w:sz w:val="18"/>
          <w:szCs w:val="18"/>
          <w:u w:val="single"/>
        </w:rPr>
        <w:t xml:space="preserve">MANUAL REVIEW PA REQUESTS AND EXCEPTIONS TO ESTABLISHED CRITERIA ARE REVIEWED ON A CASE-BY-CASE BASIS. </w:t>
      </w:r>
      <w:r w:rsidR="00227AD3" w:rsidRPr="000D1C32">
        <w:rPr>
          <w:rFonts w:ascii="Arial" w:hAnsi="Arial" w:cs="Arial"/>
          <w:sz w:val="18"/>
          <w:szCs w:val="18"/>
        </w:rPr>
        <w:t xml:space="preserve">Prescribers must provide </w:t>
      </w:r>
      <w:r w:rsidR="00A94B77" w:rsidRPr="000D1C32">
        <w:rPr>
          <w:rFonts w:ascii="Arial" w:hAnsi="Arial" w:cs="Arial"/>
          <w:sz w:val="18"/>
          <w:szCs w:val="18"/>
        </w:rPr>
        <w:t xml:space="preserve">a letter explaining the medical necessity of the request along with </w:t>
      </w:r>
      <w:r w:rsidR="00227AD3" w:rsidRPr="000D1C32">
        <w:rPr>
          <w:rFonts w:ascii="Arial" w:hAnsi="Arial" w:cs="Arial"/>
          <w:sz w:val="18"/>
          <w:szCs w:val="18"/>
        </w:rPr>
        <w:t>written documentation</w:t>
      </w:r>
      <w:r w:rsidR="00A94B77" w:rsidRPr="000D1C32">
        <w:rPr>
          <w:rFonts w:ascii="Arial" w:hAnsi="Arial" w:cs="Arial"/>
          <w:sz w:val="18"/>
          <w:szCs w:val="18"/>
        </w:rPr>
        <w:t xml:space="preserve">, e.g., chart notes, </w:t>
      </w:r>
      <w:r w:rsidR="00227AD3" w:rsidRPr="000D1C32">
        <w:rPr>
          <w:rFonts w:ascii="Arial" w:hAnsi="Arial" w:cs="Arial"/>
          <w:sz w:val="18"/>
          <w:szCs w:val="18"/>
        </w:rPr>
        <w:t xml:space="preserve">to substantiate the medical necessity of the request. </w:t>
      </w:r>
    </w:p>
    <w:p w:rsidR="00386E4E" w:rsidRPr="00614A66" w:rsidRDefault="00386E4E" w:rsidP="00A94B77">
      <w:pPr>
        <w:pStyle w:val="ListParagraph"/>
        <w:ind w:left="360"/>
        <w:rPr>
          <w:rFonts w:ascii="Arial" w:hAnsi="Arial" w:cs="Arial"/>
          <w:b/>
          <w:sz w:val="16"/>
          <w:szCs w:val="16"/>
          <w:u w:val="single"/>
        </w:rPr>
      </w:pPr>
    </w:p>
    <w:p w:rsidR="00001ADB" w:rsidRPr="000D1C32" w:rsidRDefault="000A1467" w:rsidP="00A94B77">
      <w:pPr>
        <w:pStyle w:val="ListParagraph"/>
        <w:numPr>
          <w:ilvl w:val="0"/>
          <w:numId w:val="7"/>
        </w:numPr>
        <w:rPr>
          <w:rFonts w:ascii="Arial" w:hAnsi="Arial" w:cs="Arial"/>
          <w:sz w:val="18"/>
          <w:szCs w:val="18"/>
        </w:rPr>
      </w:pPr>
      <w:r w:rsidRPr="00A94B77">
        <w:rPr>
          <w:rFonts w:ascii="Arial" w:hAnsi="Arial" w:cs="Arial"/>
          <w:b/>
          <w:sz w:val="18"/>
          <w:szCs w:val="18"/>
          <w:u w:val="single"/>
        </w:rPr>
        <w:t xml:space="preserve">THE ANTENATAL &amp; NEONATAL GUIDELINES, EDUCATION AND LEARNING SYSTEM (ANGELS) PROGRAM HAS </w:t>
      </w:r>
      <w:r w:rsidRPr="000D1C32">
        <w:rPr>
          <w:rFonts w:ascii="Arial" w:hAnsi="Arial" w:cs="Arial"/>
          <w:b/>
          <w:sz w:val="18"/>
          <w:szCs w:val="18"/>
          <w:u w:val="single"/>
        </w:rPr>
        <w:t>DEVELOPED A PEDIATRIC GUIDELINE FOR STRONG-WILLED PRESCHOOLERS (YOUNG CHILDREN’S STRONG-WILLED /NONCOMPLIANT/ DISRUPTIVE BEHAVIOR) THAT HAS BEEN PEER REVIEWED AND FINALIZED.</w:t>
      </w:r>
      <w:r w:rsidRPr="000D1C32">
        <w:rPr>
          <w:rFonts w:ascii="Arial" w:hAnsi="Arial" w:cs="Arial"/>
          <w:sz w:val="18"/>
          <w:szCs w:val="18"/>
        </w:rPr>
        <w:t xml:space="preserve">  </w:t>
      </w:r>
      <w:r w:rsidR="00001ADB" w:rsidRPr="000D1C32">
        <w:rPr>
          <w:rFonts w:ascii="Arial" w:hAnsi="Arial" w:cs="Arial"/>
          <w:sz w:val="18"/>
          <w:szCs w:val="18"/>
        </w:rPr>
        <w:t xml:space="preserve">The guideline covers the problems, etiology, and prevalence of children who have disruptive behavior problems or Oppositional Defiant Disorder (ODD).  The guideline indicates that early intervention is important to effectively address disruptive behavior problems and prevent escalation of the problem into the school-aged years.  The guideline points out that no medications are indicated for the treatment of disruptive behavior disorders.  The most thoroughly researched and validated type of interventions to treat young children’s disruptive behavior are often collectively referred to as Parent Management Training (PMT), Behavioral Parent Training (BPT), or sometimes just as Parent Training (PT).  PMT approaches typically involve </w:t>
      </w:r>
      <w:r w:rsidR="00001ADB" w:rsidRPr="000D1C32">
        <w:rPr>
          <w:rFonts w:ascii="Arial" w:hAnsi="Arial" w:cs="Arial"/>
          <w:sz w:val="18"/>
          <w:szCs w:val="18"/>
        </w:rPr>
        <w:lastRenderedPageBreak/>
        <w:t xml:space="preserve">working with both the parent and child, teaching parents specific parenting skills to improve the parent-child relationship, improve compliance, and decrease disruptive behavior.  The complete guideline is available at this link: </w:t>
      </w:r>
      <w:hyperlink r:id="rId16" w:history="1">
        <w:r w:rsidR="00001ADB" w:rsidRPr="00614A66">
          <w:rPr>
            <w:rStyle w:val="Hyperlink"/>
            <w:rFonts w:ascii="Arial" w:hAnsi="Arial" w:cs="Arial"/>
            <w:sz w:val="18"/>
            <w:szCs w:val="18"/>
          </w:rPr>
          <w:t>http://www.uams.edu/cdh1/peds_guidelines.aspx</w:t>
        </w:r>
      </w:hyperlink>
      <w:r w:rsidR="00001ADB" w:rsidRPr="00614A66">
        <w:rPr>
          <w:rStyle w:val="Hyperlink"/>
          <w:rFonts w:ascii="Arial" w:hAnsi="Arial" w:cs="Arial"/>
          <w:sz w:val="18"/>
          <w:szCs w:val="18"/>
        </w:rPr>
        <w:t>?</w:t>
      </w:r>
      <w:r w:rsidR="00001ADB" w:rsidRPr="000A1467">
        <w:rPr>
          <w:rFonts w:ascii="Arial" w:hAnsi="Arial" w:cs="Arial"/>
          <w:sz w:val="18"/>
          <w:szCs w:val="18"/>
          <w:u w:val="single"/>
        </w:rPr>
        <w:t xml:space="preserve"> </w:t>
      </w:r>
      <w:r w:rsidR="00001ADB" w:rsidRPr="000D1C32">
        <w:rPr>
          <w:rFonts w:ascii="Arial" w:hAnsi="Arial" w:cs="Arial"/>
          <w:sz w:val="18"/>
          <w:szCs w:val="18"/>
        </w:rPr>
        <w:t xml:space="preserve"> Providers are asked to create a user name and password to log in to view any of the available pediatric guidelines on the website. </w:t>
      </w:r>
    </w:p>
    <w:p w:rsidR="00386E4E" w:rsidRPr="00464DAF" w:rsidRDefault="00386E4E" w:rsidP="00386E4E">
      <w:pPr>
        <w:ind w:left="360"/>
        <w:rPr>
          <w:rFonts w:ascii="Arial" w:hAnsi="Arial" w:cs="Arial"/>
          <w:sz w:val="18"/>
          <w:szCs w:val="18"/>
        </w:rPr>
      </w:pPr>
    </w:p>
    <w:p w:rsidR="00227AD3" w:rsidRPr="00464DAF" w:rsidRDefault="00227AD3" w:rsidP="00227AD3">
      <w:pPr>
        <w:rPr>
          <w:rFonts w:ascii="Arial" w:hAnsi="Arial" w:cs="Arial"/>
          <w:sz w:val="16"/>
          <w:szCs w:val="16"/>
        </w:rPr>
      </w:pPr>
      <w:r w:rsidRPr="00464DAF">
        <w:rPr>
          <w:rFonts w:ascii="Arial" w:hAnsi="Arial" w:cs="Arial"/>
          <w:sz w:val="16"/>
          <w:szCs w:val="16"/>
        </w:rPr>
        <w:t>This advance notice is to provide you the opportunity to contact, counsel</w:t>
      </w:r>
      <w:r w:rsidR="00C47AF6">
        <w:rPr>
          <w:rFonts w:ascii="Arial" w:hAnsi="Arial" w:cs="Arial"/>
          <w:sz w:val="16"/>
          <w:szCs w:val="16"/>
        </w:rPr>
        <w:t>,</w:t>
      </w:r>
      <w:r w:rsidRPr="00464DAF">
        <w:rPr>
          <w:rFonts w:ascii="Arial" w:hAnsi="Arial" w:cs="Arial"/>
          <w:sz w:val="16"/>
          <w:szCs w:val="16"/>
        </w:rPr>
        <w:t xml:space="preserve"> and change patients’ prescriptions. </w:t>
      </w:r>
    </w:p>
    <w:p w:rsidR="00227AD3" w:rsidRPr="00464DAF" w:rsidRDefault="00227AD3" w:rsidP="00227AD3">
      <w:pPr>
        <w:rPr>
          <w:rFonts w:ascii="Arial" w:hAnsi="Arial" w:cs="Arial"/>
          <w:i/>
          <w:iCs/>
          <w:sz w:val="16"/>
          <w:szCs w:val="16"/>
        </w:rPr>
      </w:pPr>
      <w:r w:rsidRPr="00464DAF">
        <w:rPr>
          <w:rFonts w:ascii="Arial" w:hAnsi="Arial" w:cs="Arial"/>
          <w:i/>
          <w:iCs/>
          <w:sz w:val="16"/>
          <w:szCs w:val="16"/>
        </w:rPr>
        <w:t>If you need this material in an alternative format, such as large print, please contact the Program Development and Quality Assurance Unit at 501-320-6429.</w:t>
      </w:r>
    </w:p>
    <w:p w:rsidR="00227AD3" w:rsidRPr="00464DAF" w:rsidRDefault="00227AD3" w:rsidP="00227AD3">
      <w:pPr>
        <w:rPr>
          <w:rFonts w:ascii="Arial" w:hAnsi="Arial" w:cs="Arial"/>
          <w:i/>
          <w:iCs/>
          <w:sz w:val="16"/>
          <w:szCs w:val="16"/>
        </w:rPr>
      </w:pPr>
      <w:r w:rsidRPr="00464DAF">
        <w:rPr>
          <w:rFonts w:ascii="Arial" w:hAnsi="Arial" w:cs="Arial"/>
          <w:i/>
          <w:iCs/>
          <w:sz w:val="16"/>
          <w:szCs w:val="16"/>
        </w:rPr>
        <w:t>If you have questions regarding this transmittal, or you need this material in an alternative format, such as large print, please contact the HP ENTERPRISE SERVICES (FORMERLY CALLED EDS) Provider Assistance Center at 1</w:t>
      </w:r>
      <w:r w:rsidRPr="00464DAF">
        <w:rPr>
          <w:rFonts w:ascii="Arial" w:hAnsi="Arial" w:cs="Arial"/>
          <w:i/>
          <w:iCs/>
          <w:sz w:val="16"/>
          <w:szCs w:val="16"/>
        </w:rPr>
        <w:noBreakHyphen/>
        <w:t>800</w:t>
      </w:r>
      <w:r w:rsidRPr="00464DAF">
        <w:rPr>
          <w:rFonts w:ascii="Arial" w:hAnsi="Arial" w:cs="Arial"/>
          <w:i/>
          <w:iCs/>
          <w:sz w:val="16"/>
          <w:szCs w:val="16"/>
        </w:rPr>
        <w:noBreakHyphen/>
        <w:t>457</w:t>
      </w:r>
      <w:r w:rsidRPr="00464DAF">
        <w:rPr>
          <w:rFonts w:ascii="Arial" w:hAnsi="Arial" w:cs="Arial"/>
          <w:i/>
          <w:iCs/>
          <w:sz w:val="16"/>
          <w:szCs w:val="16"/>
        </w:rPr>
        <w:noBreakHyphen/>
        <w:t>4454 (Toll</w:t>
      </w:r>
      <w:r w:rsidRPr="00464DAF">
        <w:rPr>
          <w:rFonts w:ascii="Arial" w:hAnsi="Arial" w:cs="Arial"/>
          <w:i/>
          <w:iCs/>
          <w:sz w:val="16"/>
          <w:szCs w:val="16"/>
        </w:rPr>
        <w:noBreakHyphen/>
        <w:t>Free) within Arkansas or locally and out-of-state at (501) 376</w:t>
      </w:r>
      <w:r w:rsidRPr="00464DAF">
        <w:rPr>
          <w:rFonts w:ascii="Arial" w:hAnsi="Arial" w:cs="Arial"/>
          <w:i/>
          <w:iCs/>
          <w:sz w:val="16"/>
          <w:szCs w:val="16"/>
        </w:rPr>
        <w:noBreakHyphen/>
        <w:t xml:space="preserve">2211. Arkansas Medicaid provider manuals (including update transmittals), official notices and remittance advice (RA) messages are available for downloading from the Arkansas Medicaid website: </w:t>
      </w:r>
      <w:hyperlink r:id="rId17" w:history="1">
        <w:r w:rsidRPr="00464DAF">
          <w:rPr>
            <w:rStyle w:val="Hyperlink"/>
            <w:rFonts w:ascii="Arial" w:hAnsi="Arial" w:cs="Arial"/>
            <w:i/>
            <w:iCs/>
            <w:sz w:val="16"/>
            <w:szCs w:val="16"/>
          </w:rPr>
          <w:t>www.medicaid.state.ar.us/</w:t>
        </w:r>
      </w:hyperlink>
      <w:r w:rsidRPr="00464DAF">
        <w:rPr>
          <w:rFonts w:ascii="Arial" w:hAnsi="Arial" w:cs="Arial"/>
          <w:i/>
          <w:iCs/>
          <w:sz w:val="16"/>
          <w:szCs w:val="16"/>
        </w:rPr>
        <w:t>.</w:t>
      </w:r>
    </w:p>
    <w:p w:rsidR="009E699E" w:rsidRDefault="009E699E" w:rsidP="00227AD3">
      <w:pPr>
        <w:rPr>
          <w:rFonts w:ascii="Arial" w:hAnsi="Arial" w:cs="Arial"/>
          <w:i/>
          <w:iCs/>
          <w:sz w:val="16"/>
          <w:szCs w:val="16"/>
        </w:rPr>
      </w:pPr>
    </w:p>
    <w:p w:rsidR="00227AD3" w:rsidRPr="00464DAF" w:rsidRDefault="00227AD3" w:rsidP="00227AD3">
      <w:pPr>
        <w:rPr>
          <w:rFonts w:ascii="Arial" w:hAnsi="Arial" w:cs="Arial"/>
        </w:rPr>
      </w:pPr>
      <w:r w:rsidRPr="00464DAF">
        <w:rPr>
          <w:rFonts w:ascii="Arial" w:hAnsi="Arial" w:cs="Arial"/>
          <w:b/>
          <w:bCs/>
          <w:i/>
          <w:u w:val="single"/>
        </w:rPr>
        <w:t>ONGOING REMINDER FROM PREVIOUS COMMUNICATIONS:</w:t>
      </w:r>
      <w:r w:rsidRPr="00464DAF">
        <w:rPr>
          <w:rFonts w:ascii="Arial" w:hAnsi="Arial" w:cs="Arial"/>
        </w:rPr>
        <w:t xml:space="preserve"> </w:t>
      </w:r>
    </w:p>
    <w:p w:rsidR="00227AD3" w:rsidRPr="00464DAF" w:rsidRDefault="00227AD3" w:rsidP="00227AD3">
      <w:pPr>
        <w:rPr>
          <w:rFonts w:ascii="Arial" w:hAnsi="Arial" w:cs="Arial"/>
        </w:rPr>
      </w:pPr>
    </w:p>
    <w:p w:rsidR="00227AD3" w:rsidRPr="00464DAF" w:rsidRDefault="00DF5E4F" w:rsidP="00227AD3">
      <w:pPr>
        <w:rPr>
          <w:rFonts w:ascii="Arial" w:hAnsi="Arial" w:cs="Arial"/>
          <w:b/>
        </w:rPr>
      </w:pPr>
      <w:r w:rsidRPr="00464DAF">
        <w:rPr>
          <w:rFonts w:ascii="Arial" w:hAnsi="Arial" w:cs="Arial"/>
          <w:b/>
        </w:rPr>
        <w:t>Prescribers are required to monitor children &lt; 18 y</w:t>
      </w:r>
      <w:r w:rsidR="00830A5C">
        <w:rPr>
          <w:rFonts w:ascii="Arial" w:hAnsi="Arial" w:cs="Arial"/>
          <w:b/>
        </w:rPr>
        <w:t>ea</w:t>
      </w:r>
      <w:r w:rsidRPr="00464DAF">
        <w:rPr>
          <w:rFonts w:ascii="Arial" w:hAnsi="Arial" w:cs="Arial"/>
          <w:b/>
        </w:rPr>
        <w:t xml:space="preserve">rs of age </w:t>
      </w:r>
      <w:r w:rsidR="00227AD3" w:rsidRPr="00464DAF">
        <w:rPr>
          <w:rFonts w:ascii="Arial" w:hAnsi="Arial" w:cs="Arial"/>
          <w:b/>
        </w:rPr>
        <w:t xml:space="preserve">for metabolic changes every 6 months on an outpatient basis </w:t>
      </w:r>
      <w:r w:rsidRPr="00464DAF">
        <w:rPr>
          <w:rFonts w:ascii="Arial" w:hAnsi="Arial" w:cs="Arial"/>
          <w:b/>
        </w:rPr>
        <w:t>when the child is receiving any</w:t>
      </w:r>
      <w:r w:rsidR="00227AD3" w:rsidRPr="00464DAF">
        <w:rPr>
          <w:rFonts w:ascii="Arial" w:hAnsi="Arial" w:cs="Arial"/>
          <w:b/>
        </w:rPr>
        <w:t xml:space="preserve"> antipsychotic agent</w:t>
      </w:r>
      <w:r w:rsidRPr="00464DAF">
        <w:rPr>
          <w:rFonts w:ascii="Arial" w:hAnsi="Arial" w:cs="Arial"/>
          <w:b/>
        </w:rPr>
        <w:t xml:space="preserve">. </w:t>
      </w:r>
    </w:p>
    <w:p w:rsidR="00227AD3" w:rsidRPr="00464DAF" w:rsidRDefault="00227AD3" w:rsidP="00227AD3">
      <w:pPr>
        <w:rPr>
          <w:rFonts w:ascii="Arial" w:hAnsi="Arial" w:cs="Arial"/>
          <w:sz w:val="20"/>
          <w:szCs w:val="20"/>
        </w:rPr>
      </w:pPr>
    </w:p>
    <w:p w:rsidR="00227AD3" w:rsidRPr="00464DAF" w:rsidRDefault="00227AD3" w:rsidP="00227AD3">
      <w:pPr>
        <w:pStyle w:val="ListParagraph"/>
        <w:ind w:left="0"/>
        <w:rPr>
          <w:rFonts w:ascii="Arial" w:hAnsi="Arial" w:cs="Arial"/>
          <w:sz w:val="18"/>
          <w:szCs w:val="18"/>
        </w:rPr>
      </w:pPr>
      <w:r w:rsidRPr="00464DAF">
        <w:rPr>
          <w:rFonts w:ascii="Arial" w:hAnsi="Arial" w:cs="Arial"/>
          <w:sz w:val="18"/>
          <w:szCs w:val="18"/>
        </w:rPr>
        <w:t xml:space="preserve">Acceptable CPT codes for the metabolic monitoring criteria are listed below </w:t>
      </w:r>
      <w:r w:rsidR="00DF5E4F" w:rsidRPr="00464DAF">
        <w:rPr>
          <w:rFonts w:ascii="Arial" w:hAnsi="Arial" w:cs="Arial"/>
          <w:sz w:val="18"/>
          <w:szCs w:val="18"/>
        </w:rPr>
        <w:t>[</w:t>
      </w:r>
      <w:r w:rsidRPr="00464DAF">
        <w:rPr>
          <w:rFonts w:ascii="Arial" w:hAnsi="Arial" w:cs="Arial"/>
          <w:sz w:val="18"/>
          <w:szCs w:val="18"/>
        </w:rPr>
        <w:t xml:space="preserve">reminder, criteria requires CPT codes monitoring for </w:t>
      </w:r>
      <w:r w:rsidRPr="00464DAF">
        <w:rPr>
          <w:rFonts w:ascii="Arial" w:hAnsi="Arial" w:cs="Arial"/>
          <w:sz w:val="18"/>
          <w:szCs w:val="18"/>
          <w:u w:val="single"/>
        </w:rPr>
        <w:t>both</w:t>
      </w:r>
      <w:r w:rsidRPr="00464DAF">
        <w:rPr>
          <w:rFonts w:ascii="Arial" w:hAnsi="Arial" w:cs="Arial"/>
          <w:sz w:val="18"/>
          <w:szCs w:val="18"/>
        </w:rPr>
        <w:t xml:space="preserve"> glucose (group-1) and lipids (group-2)</w:t>
      </w:r>
      <w:r w:rsidR="00DF5E4F" w:rsidRPr="00464DAF">
        <w:rPr>
          <w:rFonts w:ascii="Arial" w:hAnsi="Arial" w:cs="Arial"/>
          <w:sz w:val="18"/>
          <w:szCs w:val="18"/>
        </w:rPr>
        <w:t>]</w:t>
      </w:r>
      <w:r w:rsidRPr="00464DAF">
        <w:rPr>
          <w:rFonts w:ascii="Arial" w:hAnsi="Arial" w:cs="Arial"/>
          <w:sz w:val="18"/>
          <w:szCs w:val="18"/>
        </w:rPr>
        <w:t>:</w:t>
      </w:r>
    </w:p>
    <w:p w:rsidR="00227AD3" w:rsidRPr="00464DAF" w:rsidRDefault="00227AD3" w:rsidP="00227AD3">
      <w:pPr>
        <w:pStyle w:val="ListParagraph"/>
        <w:ind w:left="0"/>
        <w:rPr>
          <w:rFonts w:ascii="Arial" w:hAnsi="Arial" w:cs="Arial"/>
          <w:sz w:val="18"/>
          <w:szCs w:val="18"/>
        </w:rPr>
      </w:pPr>
    </w:p>
    <w:p w:rsidR="00227AD3" w:rsidRPr="00464DAF" w:rsidRDefault="00227AD3" w:rsidP="00227AD3">
      <w:pPr>
        <w:pStyle w:val="ListParagraph"/>
        <w:autoSpaceDE w:val="0"/>
        <w:autoSpaceDN w:val="0"/>
        <w:adjustRightInd w:val="0"/>
        <w:ind w:left="0"/>
        <w:rPr>
          <w:rFonts w:ascii="Arial" w:hAnsi="Arial" w:cs="Arial"/>
          <w:sz w:val="18"/>
          <w:szCs w:val="18"/>
        </w:rPr>
      </w:pPr>
      <w:r w:rsidRPr="00464DAF">
        <w:rPr>
          <w:rFonts w:ascii="Arial" w:hAnsi="Arial" w:cs="Arial"/>
          <w:b/>
          <w:sz w:val="18"/>
          <w:szCs w:val="18"/>
          <w:u w:val="single"/>
        </w:rPr>
        <w:t>Group-1 (glucose codes)</w:t>
      </w:r>
      <w:r w:rsidRPr="00464DAF">
        <w:rPr>
          <w:rFonts w:ascii="Arial" w:hAnsi="Arial" w:cs="Arial"/>
          <w:b/>
          <w:sz w:val="18"/>
          <w:szCs w:val="18"/>
        </w:rPr>
        <w:t>:</w:t>
      </w:r>
      <w:r w:rsidRPr="00464DAF">
        <w:rPr>
          <w:rFonts w:ascii="Arial" w:hAnsi="Arial" w:cs="Arial"/>
          <w:sz w:val="18"/>
          <w:szCs w:val="18"/>
        </w:rPr>
        <w:t xml:space="preserve"> Criteria require </w:t>
      </w:r>
      <w:r w:rsidRPr="00464DAF">
        <w:rPr>
          <w:rFonts w:ascii="Arial" w:hAnsi="Arial" w:cs="Arial"/>
          <w:sz w:val="18"/>
          <w:szCs w:val="18"/>
          <w:u w:val="single"/>
        </w:rPr>
        <w:t>one</w:t>
      </w:r>
      <w:r w:rsidRPr="00464DAF">
        <w:rPr>
          <w:rFonts w:ascii="Arial" w:hAnsi="Arial" w:cs="Arial"/>
          <w:sz w:val="18"/>
          <w:szCs w:val="18"/>
        </w:rPr>
        <w:t xml:space="preserve"> of the following CPT codes that contain glucose monitoring in the previous 9 months from claim date of in-process claim:</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83036 (HbA1c), OR</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80050 (General Health Panel), OR</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80069 (Renal Function Panel), OR</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80047 (Basic Metabolic Panel), OR</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 xml:space="preserve">80048 (Basic Metabolic Panel), OR </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 xml:space="preserve">80053 (Comprehensive metabolic panel ), OR </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 xml:space="preserve">82962 (Glucose, blood by glucose monitoring device(s) cleared by the FDA specifically for home use) OR </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 xml:space="preserve">82948 (Glucose; blood, reagent strip ) OR </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 xml:space="preserve">82947 (Glucose; quantitative, blood), </w:t>
      </w:r>
    </w:p>
    <w:p w:rsidR="00227AD3" w:rsidRPr="00464DAF" w:rsidRDefault="00227AD3" w:rsidP="00227AD3">
      <w:pPr>
        <w:pStyle w:val="ListParagraph"/>
        <w:autoSpaceDE w:val="0"/>
        <w:autoSpaceDN w:val="0"/>
        <w:adjustRightInd w:val="0"/>
        <w:ind w:left="1440"/>
        <w:rPr>
          <w:rFonts w:ascii="Arial" w:hAnsi="Arial" w:cs="Arial"/>
          <w:sz w:val="18"/>
          <w:szCs w:val="18"/>
        </w:rPr>
      </w:pPr>
    </w:p>
    <w:p w:rsidR="00227AD3" w:rsidRPr="00464DAF" w:rsidRDefault="00227AD3" w:rsidP="00227AD3">
      <w:pPr>
        <w:pStyle w:val="ListParagraph"/>
        <w:autoSpaceDE w:val="0"/>
        <w:autoSpaceDN w:val="0"/>
        <w:adjustRightInd w:val="0"/>
        <w:rPr>
          <w:rFonts w:ascii="Arial" w:hAnsi="Arial" w:cs="Arial"/>
          <w:sz w:val="18"/>
          <w:szCs w:val="18"/>
        </w:rPr>
      </w:pPr>
      <w:r w:rsidRPr="00464DAF">
        <w:rPr>
          <w:rFonts w:ascii="Arial" w:hAnsi="Arial" w:cs="Arial"/>
          <w:b/>
          <w:i/>
          <w:sz w:val="18"/>
          <w:szCs w:val="18"/>
          <w:u w:val="single"/>
        </w:rPr>
        <w:t>AND</w:t>
      </w:r>
      <w:r w:rsidRPr="00464DAF">
        <w:rPr>
          <w:rFonts w:ascii="Arial" w:hAnsi="Arial" w:cs="Arial"/>
          <w:sz w:val="18"/>
          <w:szCs w:val="18"/>
        </w:rPr>
        <w:t xml:space="preserve">, criteria require </w:t>
      </w:r>
      <w:r w:rsidRPr="00464DAF">
        <w:rPr>
          <w:rFonts w:ascii="Arial" w:hAnsi="Arial" w:cs="Arial"/>
          <w:sz w:val="18"/>
          <w:szCs w:val="18"/>
          <w:u w:val="single"/>
        </w:rPr>
        <w:t>one</w:t>
      </w:r>
      <w:r w:rsidRPr="00464DAF">
        <w:rPr>
          <w:rFonts w:ascii="Arial" w:hAnsi="Arial" w:cs="Arial"/>
          <w:sz w:val="18"/>
          <w:szCs w:val="18"/>
        </w:rPr>
        <w:t xml:space="preserve"> of the following lipid panel tests or </w:t>
      </w:r>
      <w:r w:rsidRPr="00464DAF">
        <w:rPr>
          <w:rFonts w:ascii="Arial" w:hAnsi="Arial" w:cs="Arial"/>
          <w:sz w:val="18"/>
          <w:szCs w:val="18"/>
          <w:u w:val="single"/>
        </w:rPr>
        <w:t>all</w:t>
      </w:r>
      <w:r w:rsidRPr="00464DAF">
        <w:rPr>
          <w:rFonts w:ascii="Arial" w:hAnsi="Arial" w:cs="Arial"/>
          <w:sz w:val="18"/>
          <w:szCs w:val="18"/>
        </w:rPr>
        <w:t xml:space="preserve"> of the individual lipid test monitoring codes in previous 9 months from claim date of the in-process claim:</w:t>
      </w:r>
    </w:p>
    <w:p w:rsidR="00227AD3" w:rsidRPr="00464DAF" w:rsidRDefault="00227AD3" w:rsidP="00227AD3">
      <w:pPr>
        <w:pStyle w:val="ListParagraph"/>
        <w:autoSpaceDE w:val="0"/>
        <w:autoSpaceDN w:val="0"/>
        <w:adjustRightInd w:val="0"/>
        <w:rPr>
          <w:rFonts w:ascii="Arial" w:hAnsi="Arial" w:cs="Arial"/>
          <w:sz w:val="18"/>
          <w:szCs w:val="18"/>
        </w:rPr>
      </w:pPr>
    </w:p>
    <w:p w:rsidR="00227AD3" w:rsidRPr="00464DAF" w:rsidRDefault="00227AD3" w:rsidP="00227AD3">
      <w:pPr>
        <w:pStyle w:val="ListParagraph"/>
        <w:autoSpaceDE w:val="0"/>
        <w:autoSpaceDN w:val="0"/>
        <w:adjustRightInd w:val="0"/>
        <w:rPr>
          <w:rFonts w:ascii="Arial" w:hAnsi="Arial" w:cs="Arial"/>
          <w:sz w:val="18"/>
          <w:szCs w:val="18"/>
        </w:rPr>
      </w:pPr>
    </w:p>
    <w:p w:rsidR="00227AD3" w:rsidRPr="00464DAF" w:rsidRDefault="00227AD3" w:rsidP="00227AD3">
      <w:pPr>
        <w:pStyle w:val="ListParagraph"/>
        <w:autoSpaceDE w:val="0"/>
        <w:autoSpaceDN w:val="0"/>
        <w:adjustRightInd w:val="0"/>
        <w:ind w:left="0"/>
        <w:rPr>
          <w:rFonts w:ascii="Arial" w:hAnsi="Arial" w:cs="Arial"/>
          <w:b/>
          <w:sz w:val="18"/>
          <w:szCs w:val="18"/>
          <w:u w:val="single"/>
        </w:rPr>
      </w:pPr>
      <w:r w:rsidRPr="00464DAF">
        <w:rPr>
          <w:rFonts w:ascii="Arial" w:hAnsi="Arial" w:cs="Arial"/>
          <w:b/>
          <w:sz w:val="18"/>
          <w:szCs w:val="18"/>
          <w:u w:val="single"/>
        </w:rPr>
        <w:t>Group-2 (lipid codes)</w:t>
      </w:r>
    </w:p>
    <w:p w:rsidR="00227AD3" w:rsidRPr="00464DAF" w:rsidRDefault="00227AD3" w:rsidP="00227AD3">
      <w:pPr>
        <w:pStyle w:val="ListParagraph"/>
        <w:numPr>
          <w:ilvl w:val="0"/>
          <w:numId w:val="3"/>
        </w:numPr>
        <w:autoSpaceDE w:val="0"/>
        <w:autoSpaceDN w:val="0"/>
        <w:adjustRightInd w:val="0"/>
        <w:rPr>
          <w:rFonts w:ascii="Arial" w:hAnsi="Arial" w:cs="Arial"/>
          <w:sz w:val="18"/>
          <w:szCs w:val="18"/>
        </w:rPr>
      </w:pPr>
      <w:r w:rsidRPr="00464DAF">
        <w:rPr>
          <w:rFonts w:ascii="Arial" w:hAnsi="Arial" w:cs="Arial"/>
          <w:sz w:val="18"/>
          <w:szCs w:val="18"/>
        </w:rPr>
        <w:t>80061 (Lipid panel ), OR</w:t>
      </w:r>
    </w:p>
    <w:p w:rsidR="00227AD3" w:rsidRPr="00464DAF" w:rsidRDefault="00227AD3" w:rsidP="00227AD3">
      <w:pPr>
        <w:pStyle w:val="ListParagraph"/>
        <w:numPr>
          <w:ilvl w:val="0"/>
          <w:numId w:val="3"/>
        </w:numPr>
        <w:autoSpaceDE w:val="0"/>
        <w:autoSpaceDN w:val="0"/>
        <w:adjustRightInd w:val="0"/>
        <w:rPr>
          <w:rFonts w:ascii="Arial" w:hAnsi="Arial" w:cs="Arial"/>
          <w:sz w:val="18"/>
          <w:szCs w:val="18"/>
        </w:rPr>
      </w:pPr>
      <w:r w:rsidRPr="00464DAF">
        <w:rPr>
          <w:rFonts w:ascii="Arial" w:hAnsi="Arial" w:cs="Arial"/>
          <w:sz w:val="18"/>
          <w:szCs w:val="18"/>
        </w:rPr>
        <w:t>83701 (High resolution fractionation and quantitation of lipoproteins panel), OR</w:t>
      </w:r>
    </w:p>
    <w:p w:rsidR="008F2D75" w:rsidRPr="00464DAF" w:rsidRDefault="00227AD3" w:rsidP="009E699E">
      <w:pPr>
        <w:pStyle w:val="ListParagraph"/>
        <w:numPr>
          <w:ilvl w:val="0"/>
          <w:numId w:val="3"/>
        </w:numPr>
        <w:autoSpaceDE w:val="0"/>
        <w:autoSpaceDN w:val="0"/>
        <w:adjustRightInd w:val="0"/>
        <w:rPr>
          <w:rFonts w:ascii="Arial" w:hAnsi="Arial" w:cs="Arial"/>
          <w:sz w:val="18"/>
          <w:szCs w:val="18"/>
        </w:rPr>
      </w:pPr>
      <w:r w:rsidRPr="00464DAF">
        <w:rPr>
          <w:rFonts w:ascii="Arial" w:hAnsi="Arial" w:cs="Arial"/>
          <w:sz w:val="18"/>
          <w:szCs w:val="18"/>
        </w:rPr>
        <w:t>82465 (Cholesterol, serum or whole blood, total ), AND  83718 (HDL cholesterol ), AND 84478 (Triglycerides ), AND 83721 (LDL Cholesterol)</w:t>
      </w:r>
    </w:p>
    <w:p w:rsidR="008F2D75" w:rsidRPr="00464DAF" w:rsidRDefault="008F2D75" w:rsidP="008F2D75"/>
    <w:p w:rsidR="0011269D" w:rsidRPr="00464DAF" w:rsidRDefault="0011269D" w:rsidP="008F2D75">
      <w:pPr>
        <w:pStyle w:val="ListParagraph"/>
        <w:ind w:left="0"/>
        <w:rPr>
          <w:rFonts w:ascii="Arial" w:hAnsi="Arial" w:cs="Arial"/>
          <w:b/>
          <w:sz w:val="18"/>
          <w:szCs w:val="18"/>
        </w:rPr>
      </w:pPr>
    </w:p>
    <w:p w:rsidR="0011269D" w:rsidRPr="00464DAF" w:rsidRDefault="0011269D" w:rsidP="008F2D75">
      <w:pPr>
        <w:pStyle w:val="ListParagraph"/>
        <w:ind w:left="0"/>
        <w:rPr>
          <w:rFonts w:ascii="Arial" w:hAnsi="Arial" w:cs="Arial"/>
          <w:b/>
          <w:sz w:val="18"/>
          <w:szCs w:val="18"/>
        </w:rPr>
      </w:pPr>
    </w:p>
    <w:p w:rsidR="008F2D75" w:rsidRPr="00464DAF" w:rsidRDefault="008F2D75" w:rsidP="008F2D75">
      <w:pPr>
        <w:pStyle w:val="ListParagraph"/>
        <w:ind w:left="0"/>
        <w:rPr>
          <w:rFonts w:ascii="Arial" w:hAnsi="Arial" w:cs="Arial"/>
          <w:sz w:val="18"/>
          <w:szCs w:val="18"/>
        </w:rPr>
      </w:pPr>
      <w:r w:rsidRPr="00464DAF">
        <w:rPr>
          <w:rFonts w:ascii="Arial" w:hAnsi="Arial" w:cs="Arial"/>
          <w:b/>
          <w:sz w:val="18"/>
          <w:szCs w:val="18"/>
        </w:rPr>
        <w:t>Please Note:</w:t>
      </w:r>
      <w:r w:rsidRPr="00464DAF">
        <w:rPr>
          <w:rFonts w:ascii="Arial" w:hAnsi="Arial" w:cs="Arial"/>
          <w:sz w:val="18"/>
          <w:szCs w:val="18"/>
        </w:rPr>
        <w:t xml:space="preserve"> When any provider sends a patient who is less than 18 y</w:t>
      </w:r>
      <w:r w:rsidR="00830A5C">
        <w:rPr>
          <w:rFonts w:ascii="Arial" w:hAnsi="Arial" w:cs="Arial"/>
          <w:sz w:val="18"/>
          <w:szCs w:val="18"/>
        </w:rPr>
        <w:t>ea</w:t>
      </w:r>
      <w:r w:rsidRPr="00464DAF">
        <w:rPr>
          <w:rFonts w:ascii="Arial" w:hAnsi="Arial" w:cs="Arial"/>
          <w:sz w:val="18"/>
          <w:szCs w:val="18"/>
        </w:rPr>
        <w:t>rs of age for the metabolic labs required for the antipsychotic agents</w:t>
      </w:r>
      <w:r w:rsidRPr="00464DAF">
        <w:rPr>
          <w:rFonts w:ascii="Arial" w:hAnsi="Arial" w:cs="Arial"/>
          <w:i/>
          <w:sz w:val="18"/>
          <w:szCs w:val="18"/>
        </w:rPr>
        <w:t xml:space="preserve">, the provider must include </w:t>
      </w:r>
      <w:r w:rsidRPr="00464DAF">
        <w:rPr>
          <w:rFonts w:ascii="Arial" w:hAnsi="Arial" w:cs="Arial"/>
          <w:sz w:val="18"/>
          <w:szCs w:val="18"/>
          <w:u w:val="single"/>
        </w:rPr>
        <w:t xml:space="preserve">the PCP’s name and Medicaid ID number </w:t>
      </w:r>
      <w:r w:rsidRPr="00464DAF">
        <w:rPr>
          <w:rFonts w:ascii="Arial" w:hAnsi="Arial" w:cs="Arial"/>
          <w:i/>
          <w:sz w:val="18"/>
          <w:szCs w:val="18"/>
        </w:rPr>
        <w:t>in the lab order request form</w:t>
      </w:r>
      <w:r w:rsidRPr="00464DAF">
        <w:rPr>
          <w:rFonts w:ascii="Arial" w:hAnsi="Arial" w:cs="Arial"/>
          <w:sz w:val="18"/>
          <w:szCs w:val="18"/>
        </w:rPr>
        <w:t xml:space="preserve">.  </w:t>
      </w:r>
      <w:r w:rsidRPr="00464DAF">
        <w:rPr>
          <w:rFonts w:ascii="Arial" w:hAnsi="Arial" w:cs="Arial"/>
          <w:i/>
          <w:sz w:val="18"/>
          <w:szCs w:val="18"/>
        </w:rPr>
        <w:t>It does not have to be the PCP ordering the labs.</w:t>
      </w:r>
      <w:r w:rsidRPr="00464DAF">
        <w:rPr>
          <w:rFonts w:ascii="Arial" w:hAnsi="Arial" w:cs="Arial"/>
          <w:sz w:val="18"/>
          <w:szCs w:val="18"/>
        </w:rPr>
        <w:t xml:space="preserve">  Please refer to the Physician/Independent Lab/CRNA/Radiation Therapy Center Provider Manual, section II, 245.000 B for detailed information pasted below: </w:t>
      </w:r>
    </w:p>
    <w:p w:rsidR="008F2D75" w:rsidRPr="00464DAF" w:rsidRDefault="008F2D75" w:rsidP="008F2D75">
      <w:pPr>
        <w:pStyle w:val="ListParagraph"/>
        <w:ind w:left="0"/>
        <w:rPr>
          <w:rFonts w:ascii="Arial" w:hAnsi="Arial" w:cs="Arial"/>
          <w:sz w:val="18"/>
          <w:szCs w:val="18"/>
        </w:rPr>
      </w:pPr>
      <w:r w:rsidRPr="00464DAF">
        <w:rPr>
          <w:rFonts w:ascii="Arial" w:hAnsi="Arial" w:cs="Arial"/>
          <w:sz w:val="18"/>
          <w:szCs w:val="18"/>
        </w:rPr>
        <w:t xml:space="preserve">  </w:t>
      </w:r>
    </w:p>
    <w:p w:rsidR="008F2D75" w:rsidRPr="00464DAF" w:rsidRDefault="008F2D75" w:rsidP="008F2D75">
      <w:pPr>
        <w:ind w:left="720"/>
        <w:rPr>
          <w:b/>
          <w:sz w:val="18"/>
          <w:szCs w:val="18"/>
        </w:rPr>
      </w:pPr>
      <w:r w:rsidRPr="00464DAF">
        <w:rPr>
          <w:b/>
          <w:sz w:val="18"/>
          <w:szCs w:val="18"/>
        </w:rPr>
        <w:t>B.</w:t>
      </w:r>
      <w:r w:rsidRPr="00464DAF">
        <w:rPr>
          <w:b/>
          <w:sz w:val="18"/>
          <w:szCs w:val="18"/>
        </w:rPr>
        <w:tab/>
        <w:t>The referring physician’s individual provider identification number must also accompany the order.</w:t>
      </w:r>
    </w:p>
    <w:p w:rsidR="008F2D75" w:rsidRPr="00464DAF" w:rsidRDefault="008F2D75" w:rsidP="008F2D75">
      <w:pPr>
        <w:ind w:left="720"/>
        <w:rPr>
          <w:sz w:val="18"/>
          <w:szCs w:val="18"/>
        </w:rPr>
      </w:pPr>
      <w:r w:rsidRPr="00464DAF">
        <w:rPr>
          <w:sz w:val="18"/>
          <w:szCs w:val="18"/>
        </w:rPr>
        <w:t>1.</w:t>
      </w:r>
      <w:r w:rsidRPr="00464DAF">
        <w:rPr>
          <w:sz w:val="18"/>
          <w:szCs w:val="18"/>
        </w:rPr>
        <w:tab/>
        <w:t>If the client’s PCP referred the client to the physician ordering the tests, the ordering physician must include with the order the PCP’s individual provider identification number, in addition to his or her own individual provider identification number.</w:t>
      </w:r>
    </w:p>
    <w:p w:rsidR="008F2D75" w:rsidRPr="00464DAF" w:rsidRDefault="008F2D75" w:rsidP="008F2D75">
      <w:pPr>
        <w:ind w:left="720"/>
        <w:rPr>
          <w:sz w:val="18"/>
          <w:szCs w:val="18"/>
        </w:rPr>
      </w:pPr>
      <w:r w:rsidRPr="00464DAF">
        <w:rPr>
          <w:sz w:val="18"/>
          <w:szCs w:val="18"/>
        </w:rPr>
        <w:t>2.</w:t>
      </w:r>
      <w:r w:rsidRPr="00464DAF">
        <w:rPr>
          <w:sz w:val="18"/>
          <w:szCs w:val="18"/>
        </w:rPr>
        <w:tab/>
        <w:t>The reference facility retains the ordering physician’s provider information with the client’s medical record for the medical necessity audit trail.</w:t>
      </w:r>
    </w:p>
    <w:p w:rsidR="008F2D75" w:rsidRPr="00464DAF" w:rsidRDefault="008F2D75" w:rsidP="008F2D75">
      <w:pPr>
        <w:ind w:left="720"/>
        <w:rPr>
          <w:sz w:val="18"/>
          <w:szCs w:val="18"/>
        </w:rPr>
      </w:pPr>
      <w:r w:rsidRPr="00464DAF">
        <w:rPr>
          <w:sz w:val="18"/>
          <w:szCs w:val="18"/>
        </w:rPr>
        <w:t>3.</w:t>
      </w:r>
      <w:r w:rsidRPr="00464DAF">
        <w:rPr>
          <w:sz w:val="18"/>
          <w:szCs w:val="18"/>
        </w:rPr>
        <w:tab/>
        <w:t>The reference facility enters the PCP’s provider identification number on its claim(s) to certify PCP referral.</w:t>
      </w:r>
    </w:p>
    <w:p w:rsidR="008F2D75" w:rsidRPr="00754841" w:rsidRDefault="008F2D75" w:rsidP="008F2D75">
      <w:pPr>
        <w:ind w:left="720"/>
        <w:rPr>
          <w:sz w:val="18"/>
          <w:szCs w:val="18"/>
        </w:rPr>
      </w:pPr>
      <w:r w:rsidRPr="00464DAF">
        <w:rPr>
          <w:sz w:val="18"/>
          <w:szCs w:val="18"/>
        </w:rPr>
        <w:lastRenderedPageBreak/>
        <w:t>4.</w:t>
      </w:r>
      <w:r w:rsidRPr="00464DAF">
        <w:rPr>
          <w:sz w:val="18"/>
          <w:szCs w:val="18"/>
        </w:rPr>
        <w:tab/>
        <w:t>If the Medicaid client is exempt from PCP Program requirements, the reference facility submits the individual provider identification number of the ordering physician on its Medicaid claim.</w:t>
      </w:r>
    </w:p>
    <w:p w:rsidR="00227AD3" w:rsidRPr="008F2D75" w:rsidRDefault="00227AD3" w:rsidP="008F2D75"/>
    <w:sectPr w:rsidR="00227AD3" w:rsidRPr="008F2D75" w:rsidSect="00227AD3">
      <w:headerReference w:type="default" r:id="rId18"/>
      <w:type w:val="continuous"/>
      <w:pgSz w:w="12240" w:h="15840" w:code="1"/>
      <w:pgMar w:top="1440" w:right="1440" w:bottom="1440" w:left="1440" w:header="720"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1C2" w:rsidRDefault="006541C2">
      <w:r>
        <w:separator/>
      </w:r>
    </w:p>
  </w:endnote>
  <w:endnote w:type="continuationSeparator" w:id="0">
    <w:p w:rsidR="006541C2" w:rsidRDefault="006541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aramond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LBKHM+Arial">
    <w:altName w:val="Times New Roman"/>
    <w:charset w:val="00"/>
    <w:family w:val="auto"/>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C1" w:rsidRPr="00EC42C0" w:rsidRDefault="00353DC1">
    <w:pPr>
      <w:pStyle w:val="Footer"/>
      <w:jc w:val="center"/>
      <w:rPr>
        <w:rFonts w:ascii="AGaramond Bold" w:hAnsi="AGaramond Bold" w:cs="Arial"/>
        <w:b/>
        <w:bCs/>
        <w:sz w:val="20"/>
        <w:szCs w:val="20"/>
      </w:rPr>
    </w:pPr>
    <w:r>
      <w:rPr>
        <w:rFonts w:ascii="AGaramond Bold" w:hAnsi="AGaramond Bold" w:cs="Arial"/>
        <w:b/>
        <w:bCs/>
        <w:sz w:val="20"/>
        <w:szCs w:val="20"/>
      </w:rPr>
      <w:t>h</w:t>
    </w:r>
    <w:r w:rsidRPr="00EC42C0">
      <w:rPr>
        <w:rFonts w:ascii="AGaramond Bold" w:hAnsi="AGaramond Bold" w:cs="Arial"/>
        <w:b/>
        <w:bCs/>
        <w:sz w:val="20"/>
        <w:szCs w:val="20"/>
      </w:rPr>
      <w:t>umanservices.arkansas.gov</w:t>
    </w:r>
  </w:p>
  <w:p w:rsidR="00353DC1" w:rsidRPr="00EC42C0" w:rsidRDefault="00353DC1">
    <w:pPr>
      <w:pStyle w:val="Footer"/>
      <w:jc w:val="center"/>
      <w:rPr>
        <w:sz w:val="20"/>
        <w:szCs w:val="20"/>
      </w:rPr>
    </w:pPr>
    <w:r w:rsidRPr="00EC42C0">
      <w:rPr>
        <w:rFonts w:ascii="AGaramond Bold" w:hAnsi="AGaramond Bold" w:cs="Arial"/>
        <w:b/>
        <w:bCs/>
        <w:sz w:val="20"/>
        <w:szCs w:val="20"/>
      </w:rPr>
      <w:t>Protecting the vulnerable, fostering independence and promoting better health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1C2" w:rsidRDefault="006541C2">
      <w:r>
        <w:separator/>
      </w:r>
    </w:p>
  </w:footnote>
  <w:footnote w:type="continuationSeparator" w:id="0">
    <w:p w:rsidR="006541C2" w:rsidRDefault="00654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C1" w:rsidRPr="00227AD3" w:rsidRDefault="00353DC1">
    <w:pPr>
      <w:pStyle w:val="Header"/>
      <w:rPr>
        <w:sz w:val="16"/>
        <w:szCs w:val="16"/>
      </w:rPr>
    </w:pPr>
    <w:r w:rsidRPr="00227AD3">
      <w:rPr>
        <w:rFonts w:ascii="Arial" w:hAnsi="Arial" w:cs="Arial"/>
        <w:color w:val="7F7F7F"/>
        <w:spacing w:val="60"/>
        <w:sz w:val="16"/>
        <w:szCs w:val="16"/>
      </w:rPr>
      <w:t>AR Medicaid DUR Board Meeting</w:t>
    </w:r>
    <w:r w:rsidR="0025100D">
      <w:rPr>
        <w:color w:val="7F7F7F"/>
        <w:spacing w:val="60"/>
        <w:sz w:val="16"/>
        <w:szCs w:val="16"/>
      </w:rPr>
      <w:t xml:space="preserve"> JULY</w:t>
    </w:r>
    <w:r>
      <w:rPr>
        <w:rFonts w:ascii="Arial" w:hAnsi="Arial" w:cs="Arial"/>
        <w:color w:val="7F7F7F"/>
        <w:spacing w:val="60"/>
        <w:sz w:val="16"/>
        <w:szCs w:val="16"/>
      </w:rPr>
      <w:t xml:space="preserve"> 16</w:t>
    </w:r>
    <w:r w:rsidRPr="00227AD3">
      <w:rPr>
        <w:rFonts w:ascii="Arial" w:hAnsi="Arial" w:cs="Arial"/>
        <w:color w:val="7F7F7F"/>
        <w:spacing w:val="60"/>
        <w:sz w:val="16"/>
        <w:szCs w:val="16"/>
      </w:rPr>
      <w:t>, 201</w:t>
    </w:r>
    <w:r>
      <w:rPr>
        <w:rFonts w:ascii="Arial" w:hAnsi="Arial" w:cs="Arial"/>
        <w:color w:val="7F7F7F"/>
        <w:spacing w:val="60"/>
        <w:sz w:val="16"/>
        <w:szCs w:val="16"/>
      </w:rPr>
      <w:t>4</w:t>
    </w:r>
    <w:r w:rsidRPr="00227AD3">
      <w:rPr>
        <w:rFonts w:ascii="Arial" w:hAnsi="Arial" w:cs="Arial"/>
        <w:color w:val="7F7F7F"/>
        <w:spacing w:val="60"/>
        <w:sz w:val="16"/>
        <w:szCs w:val="16"/>
      </w:rPr>
      <w:t xml:space="preserve">       </w:t>
    </w:r>
    <w:r>
      <w:rPr>
        <w:rFonts w:ascii="Arial" w:hAnsi="Arial" w:cs="Arial"/>
        <w:color w:val="7F7F7F"/>
        <w:spacing w:val="60"/>
        <w:sz w:val="16"/>
        <w:szCs w:val="16"/>
      </w:rPr>
      <w:t xml:space="preserve"> </w:t>
    </w:r>
    <w:r w:rsidRPr="00227AD3">
      <w:rPr>
        <w:rFonts w:ascii="Arial" w:hAnsi="Arial" w:cs="Arial"/>
        <w:color w:val="7F7F7F"/>
        <w:spacing w:val="60"/>
        <w:sz w:val="16"/>
        <w:szCs w:val="16"/>
      </w:rPr>
      <w:t xml:space="preserve">     Page </w:t>
    </w:r>
    <w:r w:rsidRPr="00227AD3">
      <w:rPr>
        <w:rFonts w:ascii="Arial" w:hAnsi="Arial" w:cs="Arial"/>
        <w:color w:val="7F7F7F"/>
        <w:spacing w:val="60"/>
        <w:sz w:val="16"/>
        <w:szCs w:val="16"/>
      </w:rPr>
      <w:fldChar w:fldCharType="begin"/>
    </w:r>
    <w:r w:rsidRPr="00227AD3">
      <w:rPr>
        <w:rFonts w:ascii="Arial" w:hAnsi="Arial" w:cs="Arial"/>
        <w:color w:val="7F7F7F"/>
        <w:spacing w:val="60"/>
        <w:sz w:val="16"/>
        <w:szCs w:val="16"/>
      </w:rPr>
      <w:instrText xml:space="preserve"> PAGE </w:instrText>
    </w:r>
    <w:r w:rsidRPr="00227AD3">
      <w:rPr>
        <w:rFonts w:ascii="Arial" w:hAnsi="Arial" w:cs="Arial"/>
        <w:color w:val="7F7F7F"/>
        <w:spacing w:val="60"/>
        <w:sz w:val="16"/>
        <w:szCs w:val="16"/>
      </w:rPr>
      <w:fldChar w:fldCharType="separate"/>
    </w:r>
    <w:r w:rsidR="00614A66">
      <w:rPr>
        <w:rFonts w:ascii="Arial" w:hAnsi="Arial" w:cs="Arial"/>
        <w:noProof/>
        <w:color w:val="7F7F7F"/>
        <w:spacing w:val="60"/>
        <w:sz w:val="16"/>
        <w:szCs w:val="16"/>
      </w:rPr>
      <w:t>10</w:t>
    </w:r>
    <w:r w:rsidRPr="00227AD3">
      <w:rPr>
        <w:rFonts w:ascii="Arial" w:hAnsi="Arial" w:cs="Arial"/>
        <w:color w:val="7F7F7F"/>
        <w:spacing w:val="60"/>
        <w:sz w:val="16"/>
        <w:szCs w:val="16"/>
      </w:rPr>
      <w:fldChar w:fldCharType="end"/>
    </w:r>
    <w:r w:rsidRPr="00227AD3">
      <w:rPr>
        <w:rFonts w:ascii="Arial" w:hAnsi="Arial" w:cs="Arial"/>
        <w:color w:val="7F7F7F"/>
        <w:spacing w:val="60"/>
        <w:sz w:val="16"/>
        <w:szCs w:val="16"/>
      </w:rPr>
      <w:t xml:space="preserve"> of </w:t>
    </w:r>
    <w:r w:rsidRPr="00227AD3">
      <w:rPr>
        <w:rFonts w:ascii="Arial" w:hAnsi="Arial" w:cs="Arial"/>
        <w:color w:val="7F7F7F"/>
        <w:spacing w:val="60"/>
        <w:sz w:val="16"/>
        <w:szCs w:val="16"/>
      </w:rPr>
      <w:fldChar w:fldCharType="begin"/>
    </w:r>
    <w:r w:rsidRPr="00227AD3">
      <w:rPr>
        <w:rFonts w:ascii="Arial" w:hAnsi="Arial" w:cs="Arial"/>
        <w:color w:val="7F7F7F"/>
        <w:spacing w:val="60"/>
        <w:sz w:val="16"/>
        <w:szCs w:val="16"/>
      </w:rPr>
      <w:instrText xml:space="preserve"> NUMPAGES  </w:instrText>
    </w:r>
    <w:r w:rsidRPr="00227AD3">
      <w:rPr>
        <w:rFonts w:ascii="Arial" w:hAnsi="Arial" w:cs="Arial"/>
        <w:color w:val="7F7F7F"/>
        <w:spacing w:val="60"/>
        <w:sz w:val="16"/>
        <w:szCs w:val="16"/>
      </w:rPr>
      <w:fldChar w:fldCharType="separate"/>
    </w:r>
    <w:r w:rsidR="00614A66">
      <w:rPr>
        <w:rFonts w:ascii="Arial" w:hAnsi="Arial" w:cs="Arial"/>
        <w:noProof/>
        <w:color w:val="7F7F7F"/>
        <w:spacing w:val="60"/>
        <w:sz w:val="16"/>
        <w:szCs w:val="16"/>
      </w:rPr>
      <w:t>10</w:t>
    </w:r>
    <w:r w:rsidRPr="00227AD3">
      <w:rPr>
        <w:rFonts w:ascii="Arial" w:hAnsi="Arial" w:cs="Arial"/>
        <w:color w:val="7F7F7F"/>
        <w:spacing w:val="60"/>
        <w:sz w:val="16"/>
        <w:szCs w:val="16"/>
      </w:rPr>
      <w:fldChar w:fldCharType="end"/>
    </w:r>
  </w:p>
  <w:p w:rsidR="00353DC1" w:rsidRDefault="00353DC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A66" w:rsidRPr="00614A66" w:rsidRDefault="00614A66" w:rsidP="00614A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D70"/>
    <w:multiLevelType w:val="hybridMultilevel"/>
    <w:tmpl w:val="D6341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471B1F"/>
    <w:multiLevelType w:val="hybridMultilevel"/>
    <w:tmpl w:val="575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CA55D7"/>
    <w:multiLevelType w:val="hybridMultilevel"/>
    <w:tmpl w:val="AE8477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DA6DD1"/>
    <w:multiLevelType w:val="hybridMultilevel"/>
    <w:tmpl w:val="8B2232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8DA49D3"/>
    <w:multiLevelType w:val="hybridMultilevel"/>
    <w:tmpl w:val="FB0CB268"/>
    <w:lvl w:ilvl="0" w:tplc="F0546A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C23E22"/>
    <w:multiLevelType w:val="hybridMultilevel"/>
    <w:tmpl w:val="8E746566"/>
    <w:lvl w:ilvl="0" w:tplc="0409000F">
      <w:start w:val="1"/>
      <w:numFmt w:val="decimal"/>
      <w:lvlText w:val="%1."/>
      <w:lvlJc w:val="left"/>
      <w:pPr>
        <w:ind w:left="720" w:hanging="360"/>
      </w:pPr>
      <w:rPr>
        <w:rFonts w:hint="default"/>
        <w:b/>
      </w:rPr>
    </w:lvl>
    <w:lvl w:ilvl="1" w:tplc="B64632F0">
      <w:start w:val="1"/>
      <w:numFmt w:val="lowerLetter"/>
      <w:lvlText w:val="%2."/>
      <w:lvlJc w:val="left"/>
      <w:pPr>
        <w:ind w:left="1440" w:hanging="360"/>
      </w:pPr>
      <w:rPr>
        <w:b/>
        <w:i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501DD6"/>
    <w:multiLevelType w:val="hybridMultilevel"/>
    <w:tmpl w:val="BA9456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2B6BE0"/>
    <w:multiLevelType w:val="hybridMultilevel"/>
    <w:tmpl w:val="D2DE3FB2"/>
    <w:lvl w:ilvl="0" w:tplc="FD0C7D4C">
      <w:start w:val="4"/>
      <w:numFmt w:val="decimal"/>
      <w:lvlText w:val="%1."/>
      <w:lvlJc w:val="left"/>
      <w:pPr>
        <w:ind w:left="720" w:hanging="360"/>
      </w:pPr>
      <w:rPr>
        <w:rFonts w:hint="default"/>
        <w:b/>
      </w:rPr>
    </w:lvl>
    <w:lvl w:ilvl="1" w:tplc="0BBCA86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3301BC"/>
    <w:multiLevelType w:val="hybridMultilevel"/>
    <w:tmpl w:val="4E20B8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A72E50"/>
    <w:multiLevelType w:val="hybridMultilevel"/>
    <w:tmpl w:val="FBEC3826"/>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0">
    <w:nsid w:val="2A996B38"/>
    <w:multiLevelType w:val="hybridMultilevel"/>
    <w:tmpl w:val="3CF6FD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BE952A7"/>
    <w:multiLevelType w:val="hybridMultilevel"/>
    <w:tmpl w:val="487E81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826D48"/>
    <w:multiLevelType w:val="multilevel"/>
    <w:tmpl w:val="492A2DEE"/>
    <w:lvl w:ilvl="0">
      <w:start w:val="3"/>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9006FCA"/>
    <w:multiLevelType w:val="multilevel"/>
    <w:tmpl w:val="C5C0DFA6"/>
    <w:lvl w:ilvl="0">
      <w:start w:val="3"/>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7"/>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9A07A7F"/>
    <w:multiLevelType w:val="hybridMultilevel"/>
    <w:tmpl w:val="77461E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C4E402E"/>
    <w:multiLevelType w:val="hybridMultilevel"/>
    <w:tmpl w:val="E2489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E13285C"/>
    <w:multiLevelType w:val="hybridMultilevel"/>
    <w:tmpl w:val="35DC8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5E7C18"/>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93C48F9"/>
    <w:multiLevelType w:val="hybridMultilevel"/>
    <w:tmpl w:val="8E746566"/>
    <w:lvl w:ilvl="0" w:tplc="0409000F">
      <w:start w:val="1"/>
      <w:numFmt w:val="decimal"/>
      <w:lvlText w:val="%1."/>
      <w:lvlJc w:val="left"/>
      <w:pPr>
        <w:ind w:left="2160" w:hanging="360"/>
      </w:pPr>
      <w:rPr>
        <w:rFonts w:hint="default"/>
        <w:b/>
      </w:rPr>
    </w:lvl>
    <w:lvl w:ilvl="1" w:tplc="B64632F0">
      <w:start w:val="1"/>
      <w:numFmt w:val="lowerLetter"/>
      <w:lvlText w:val="%2."/>
      <w:lvlJc w:val="left"/>
      <w:pPr>
        <w:ind w:left="2880" w:hanging="360"/>
      </w:pPr>
      <w:rPr>
        <w:b/>
        <w:i w:val="0"/>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FCF0FCA"/>
    <w:multiLevelType w:val="hybridMultilevel"/>
    <w:tmpl w:val="CD4A48AC"/>
    <w:lvl w:ilvl="0" w:tplc="04090001">
      <w:start w:val="1"/>
      <w:numFmt w:val="bullet"/>
      <w:lvlText w:val=""/>
      <w:lvlJc w:val="left"/>
      <w:pPr>
        <w:ind w:left="2160" w:hanging="360"/>
      </w:pPr>
      <w:rPr>
        <w:rFonts w:ascii="Symbol" w:hAnsi="Symbol" w:hint="default"/>
      </w:rPr>
    </w:lvl>
    <w:lvl w:ilvl="1" w:tplc="53F2C548">
      <w:numFmt w:val="bullet"/>
      <w:lvlText w:val="•"/>
      <w:lvlJc w:val="left"/>
      <w:pPr>
        <w:ind w:left="3240" w:hanging="720"/>
      </w:pPr>
      <w:rPr>
        <w:rFonts w:ascii="Arial" w:eastAsia="Times New Roman" w:hAnsi="Arial"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FDC5F54"/>
    <w:multiLevelType w:val="multilevel"/>
    <w:tmpl w:val="BE4627D8"/>
    <w:lvl w:ilvl="0">
      <w:start w:val="4"/>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1282348"/>
    <w:multiLevelType w:val="multilevel"/>
    <w:tmpl w:val="75944312"/>
    <w:lvl w:ilvl="0">
      <w:start w:val="3"/>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5"/>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1962E10"/>
    <w:multiLevelType w:val="hybridMultilevel"/>
    <w:tmpl w:val="FC061A3A"/>
    <w:lvl w:ilvl="0" w:tplc="04090001">
      <w:start w:val="1"/>
      <w:numFmt w:val="bullet"/>
      <w:lvlText w:val=""/>
      <w:lvlJc w:val="left"/>
      <w:pPr>
        <w:ind w:left="1800" w:hanging="360"/>
      </w:pPr>
      <w:rPr>
        <w:rFonts w:ascii="Symbol" w:hAnsi="Symbol" w:hint="default"/>
      </w:rPr>
    </w:lvl>
    <w:lvl w:ilvl="1" w:tplc="76AAD574">
      <w:start w:val="2"/>
      <w:numFmt w:val="bullet"/>
      <w:lvlText w:val="•"/>
      <w:lvlJc w:val="left"/>
      <w:pPr>
        <w:ind w:left="2520" w:hanging="360"/>
      </w:pPr>
      <w:rPr>
        <w:rFonts w:ascii="Arial" w:eastAsia="Times New Roman"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799464F"/>
    <w:multiLevelType w:val="hybridMultilevel"/>
    <w:tmpl w:val="291220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BEC2C28"/>
    <w:multiLevelType w:val="hybridMultilevel"/>
    <w:tmpl w:val="0BBCA05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E1F09BF"/>
    <w:multiLevelType w:val="hybridMultilevel"/>
    <w:tmpl w:val="0C8CA41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E873976"/>
    <w:multiLevelType w:val="multilevel"/>
    <w:tmpl w:val="75944312"/>
    <w:lvl w:ilvl="0">
      <w:start w:val="3"/>
      <w:numFmt w:val="decimal"/>
      <w:lvlText w:val="%1."/>
      <w:lvlJc w:val="left"/>
      <w:pPr>
        <w:ind w:left="1080" w:hanging="360"/>
      </w:pPr>
      <w:rPr>
        <w:rFonts w:hint="default"/>
        <w:b/>
      </w:rPr>
    </w:lvl>
    <w:lvl w:ilvl="1">
      <w:start w:val="1"/>
      <w:numFmt w:val="lowerLetter"/>
      <w:lvlText w:val="%2)"/>
      <w:lvlJc w:val="left"/>
      <w:pPr>
        <w:ind w:left="1440" w:hanging="360"/>
      </w:pPr>
      <w:rPr>
        <w:rFonts w:hint="default"/>
        <w:b/>
      </w:rPr>
    </w:lvl>
    <w:lvl w:ilvl="2">
      <w:start w:val="1"/>
      <w:numFmt w:val="lowerLetter"/>
      <w:lvlText w:val="%3)"/>
      <w:lvlJc w:val="left"/>
      <w:pPr>
        <w:ind w:left="1800" w:hanging="360"/>
      </w:pPr>
      <w:rPr>
        <w:rFonts w:hint="default"/>
        <w:b/>
      </w:rPr>
    </w:lvl>
    <w:lvl w:ilvl="3">
      <w:start w:val="5"/>
      <w:numFmt w:val="lowerLetter"/>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nsid w:val="60DD4CF6"/>
    <w:multiLevelType w:val="hybridMultilevel"/>
    <w:tmpl w:val="7736EF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2F0EC8"/>
    <w:multiLevelType w:val="hybridMultilevel"/>
    <w:tmpl w:val="803E69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6C1C40F5"/>
    <w:multiLevelType w:val="multilevel"/>
    <w:tmpl w:val="75944312"/>
    <w:lvl w:ilvl="0">
      <w:start w:val="3"/>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5"/>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F4D2ED0"/>
    <w:multiLevelType w:val="hybridMultilevel"/>
    <w:tmpl w:val="C2F26538"/>
    <w:lvl w:ilvl="0" w:tplc="7576C720">
      <w:start w:val="20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3D5078C"/>
    <w:multiLevelType w:val="hybridMultilevel"/>
    <w:tmpl w:val="5C76A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4E5A0F"/>
    <w:multiLevelType w:val="hybridMultilevel"/>
    <w:tmpl w:val="0C8CA41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93D79F4"/>
    <w:multiLevelType w:val="multilevel"/>
    <w:tmpl w:val="8E6E74EC"/>
    <w:lvl w:ilvl="0">
      <w:start w:val="3"/>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3."/>
      <w:lvlJc w:val="left"/>
      <w:pPr>
        <w:ind w:left="1080" w:hanging="360"/>
      </w:pPr>
      <w:rPr>
        <w:rFonts w:hint="default"/>
        <w:b/>
      </w:rPr>
    </w:lvl>
    <w:lvl w:ilvl="3">
      <w:start w:val="7"/>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93E17F0"/>
    <w:multiLevelType w:val="hybridMultilevel"/>
    <w:tmpl w:val="07DA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75EC0"/>
    <w:multiLevelType w:val="hybridMultilevel"/>
    <w:tmpl w:val="5A4A57F2"/>
    <w:lvl w:ilvl="0" w:tplc="04090019">
      <w:start w:val="1"/>
      <w:numFmt w:val="lowerLetter"/>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6">
    <w:nsid w:val="7C7C798C"/>
    <w:multiLevelType w:val="hybridMultilevel"/>
    <w:tmpl w:val="9CA28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D9F19A8"/>
    <w:multiLevelType w:val="multilevel"/>
    <w:tmpl w:val="BE4627D8"/>
    <w:lvl w:ilvl="0">
      <w:start w:val="4"/>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F054717"/>
    <w:multiLevelType w:val="hybridMultilevel"/>
    <w:tmpl w:val="E3B2AB28"/>
    <w:lvl w:ilvl="0" w:tplc="269A6974">
      <w:start w:val="6"/>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36"/>
  </w:num>
  <w:num w:numId="4">
    <w:abstractNumId w:val="29"/>
  </w:num>
  <w:num w:numId="5">
    <w:abstractNumId w:val="12"/>
  </w:num>
  <w:num w:numId="6">
    <w:abstractNumId w:val="5"/>
  </w:num>
  <w:num w:numId="7">
    <w:abstractNumId w:val="4"/>
  </w:num>
  <w:num w:numId="8">
    <w:abstractNumId w:val="27"/>
  </w:num>
  <w:num w:numId="9">
    <w:abstractNumId w:val="16"/>
  </w:num>
  <w:num w:numId="10">
    <w:abstractNumId w:val="25"/>
  </w:num>
  <w:num w:numId="11">
    <w:abstractNumId w:val="32"/>
  </w:num>
  <w:num w:numId="12">
    <w:abstractNumId w:val="14"/>
  </w:num>
  <w:num w:numId="13">
    <w:abstractNumId w:val="23"/>
  </w:num>
  <w:num w:numId="14">
    <w:abstractNumId w:val="10"/>
  </w:num>
  <w:num w:numId="15">
    <w:abstractNumId w:val="38"/>
  </w:num>
  <w:num w:numId="16">
    <w:abstractNumId w:val="37"/>
  </w:num>
  <w:num w:numId="17">
    <w:abstractNumId w:val="20"/>
  </w:num>
  <w:num w:numId="18">
    <w:abstractNumId w:val="30"/>
  </w:num>
  <w:num w:numId="19">
    <w:abstractNumId w:val="22"/>
  </w:num>
  <w:num w:numId="20">
    <w:abstractNumId w:val="26"/>
  </w:num>
  <w:num w:numId="21">
    <w:abstractNumId w:val="21"/>
  </w:num>
  <w:num w:numId="22">
    <w:abstractNumId w:val="13"/>
  </w:num>
  <w:num w:numId="23">
    <w:abstractNumId w:val="33"/>
  </w:num>
  <w:num w:numId="24">
    <w:abstractNumId w:val="8"/>
  </w:num>
  <w:num w:numId="25">
    <w:abstractNumId w:val="15"/>
  </w:num>
  <w:num w:numId="26">
    <w:abstractNumId w:val="7"/>
  </w:num>
  <w:num w:numId="27">
    <w:abstractNumId w:val="6"/>
  </w:num>
  <w:num w:numId="28">
    <w:abstractNumId w:val="24"/>
  </w:num>
  <w:num w:numId="29">
    <w:abstractNumId w:val="14"/>
  </w:num>
  <w:num w:numId="30">
    <w:abstractNumId w:val="19"/>
  </w:num>
  <w:num w:numId="31">
    <w:abstractNumId w:val="35"/>
  </w:num>
  <w:num w:numId="32">
    <w:abstractNumId w:val="9"/>
  </w:num>
  <w:num w:numId="33">
    <w:abstractNumId w:val="34"/>
  </w:num>
  <w:num w:numId="34">
    <w:abstractNumId w:val="11"/>
  </w:num>
  <w:num w:numId="35">
    <w:abstractNumId w:val="2"/>
  </w:num>
  <w:num w:numId="36">
    <w:abstractNumId w:val="31"/>
  </w:num>
  <w:num w:numId="37">
    <w:abstractNumId w:val="3"/>
  </w:num>
  <w:num w:numId="38">
    <w:abstractNumId w:val="0"/>
  </w:num>
  <w:num w:numId="39">
    <w:abstractNumId w:val="28"/>
  </w:num>
  <w:num w:numId="40">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cumentProtection w:edit="trackedChanges" w:enforcement="0"/>
  <w:defaultTabStop w:val="720"/>
  <w:characterSpacingControl w:val="doNotCompress"/>
  <w:hdrShapeDefaults>
    <o:shapedefaults v:ext="edit" spidmax="3074"/>
  </w:hdrShapeDefaults>
  <w:footnotePr>
    <w:footnote w:id="-1"/>
    <w:footnote w:id="0"/>
  </w:footnotePr>
  <w:endnotePr>
    <w:endnote w:id="-1"/>
    <w:endnote w:id="0"/>
  </w:endnotePr>
  <w:compat/>
  <w:rsids>
    <w:rsidRoot w:val="00C14DA1"/>
    <w:rsid w:val="00001ADB"/>
    <w:rsid w:val="00010155"/>
    <w:rsid w:val="00010B8C"/>
    <w:rsid w:val="000124FF"/>
    <w:rsid w:val="00015489"/>
    <w:rsid w:val="0001662F"/>
    <w:rsid w:val="00023218"/>
    <w:rsid w:val="000331FA"/>
    <w:rsid w:val="00035F56"/>
    <w:rsid w:val="000405C9"/>
    <w:rsid w:val="00040B5D"/>
    <w:rsid w:val="00050DC1"/>
    <w:rsid w:val="00062A09"/>
    <w:rsid w:val="00064AB8"/>
    <w:rsid w:val="00066BEB"/>
    <w:rsid w:val="0006715F"/>
    <w:rsid w:val="000738E0"/>
    <w:rsid w:val="00091ADE"/>
    <w:rsid w:val="00094867"/>
    <w:rsid w:val="000A1467"/>
    <w:rsid w:val="000A1DEB"/>
    <w:rsid w:val="000A2FE4"/>
    <w:rsid w:val="000D131F"/>
    <w:rsid w:val="000D1C32"/>
    <w:rsid w:val="000E393C"/>
    <w:rsid w:val="000E6171"/>
    <w:rsid w:val="000E7026"/>
    <w:rsid w:val="001005E8"/>
    <w:rsid w:val="00103392"/>
    <w:rsid w:val="001041BF"/>
    <w:rsid w:val="0011269D"/>
    <w:rsid w:val="00112CE4"/>
    <w:rsid w:val="00117717"/>
    <w:rsid w:val="0012456B"/>
    <w:rsid w:val="001259E8"/>
    <w:rsid w:val="00130DCB"/>
    <w:rsid w:val="00131B2F"/>
    <w:rsid w:val="0013582F"/>
    <w:rsid w:val="00136EA1"/>
    <w:rsid w:val="00143299"/>
    <w:rsid w:val="001470D2"/>
    <w:rsid w:val="0016366E"/>
    <w:rsid w:val="001669FF"/>
    <w:rsid w:val="00183472"/>
    <w:rsid w:val="00183F02"/>
    <w:rsid w:val="00187E20"/>
    <w:rsid w:val="00194DEC"/>
    <w:rsid w:val="00195F9E"/>
    <w:rsid w:val="00197365"/>
    <w:rsid w:val="00197C31"/>
    <w:rsid w:val="001A0301"/>
    <w:rsid w:val="001A2E0F"/>
    <w:rsid w:val="001A40F2"/>
    <w:rsid w:val="001A79BC"/>
    <w:rsid w:val="001B2A7C"/>
    <w:rsid w:val="001B7C7C"/>
    <w:rsid w:val="001D121D"/>
    <w:rsid w:val="001D656F"/>
    <w:rsid w:val="001D6DC5"/>
    <w:rsid w:val="001E0888"/>
    <w:rsid w:val="001F0065"/>
    <w:rsid w:val="001F2D72"/>
    <w:rsid w:val="001F5598"/>
    <w:rsid w:val="001F6240"/>
    <w:rsid w:val="0021122B"/>
    <w:rsid w:val="00217445"/>
    <w:rsid w:val="00227AD3"/>
    <w:rsid w:val="00232F19"/>
    <w:rsid w:val="00233438"/>
    <w:rsid w:val="002336BF"/>
    <w:rsid w:val="00233D92"/>
    <w:rsid w:val="00236CD5"/>
    <w:rsid w:val="002405DC"/>
    <w:rsid w:val="002410B8"/>
    <w:rsid w:val="00241964"/>
    <w:rsid w:val="00243E98"/>
    <w:rsid w:val="00244E53"/>
    <w:rsid w:val="00247D5E"/>
    <w:rsid w:val="0025100D"/>
    <w:rsid w:val="00251F75"/>
    <w:rsid w:val="002554DF"/>
    <w:rsid w:val="00260FF1"/>
    <w:rsid w:val="002614E0"/>
    <w:rsid w:val="00265509"/>
    <w:rsid w:val="00272E4B"/>
    <w:rsid w:val="00274935"/>
    <w:rsid w:val="002801EC"/>
    <w:rsid w:val="00283694"/>
    <w:rsid w:val="00287AD7"/>
    <w:rsid w:val="00287E8D"/>
    <w:rsid w:val="002A120A"/>
    <w:rsid w:val="002A48F0"/>
    <w:rsid w:val="002B0CCF"/>
    <w:rsid w:val="002B2B39"/>
    <w:rsid w:val="002C1A6D"/>
    <w:rsid w:val="002D0FCA"/>
    <w:rsid w:val="002D5490"/>
    <w:rsid w:val="002F2F57"/>
    <w:rsid w:val="002F5DC6"/>
    <w:rsid w:val="00314366"/>
    <w:rsid w:val="003145B3"/>
    <w:rsid w:val="003150F7"/>
    <w:rsid w:val="00320026"/>
    <w:rsid w:val="00322153"/>
    <w:rsid w:val="00323CBF"/>
    <w:rsid w:val="00334A97"/>
    <w:rsid w:val="00350AC6"/>
    <w:rsid w:val="00353DC1"/>
    <w:rsid w:val="00354991"/>
    <w:rsid w:val="00354BBC"/>
    <w:rsid w:val="00356343"/>
    <w:rsid w:val="003660B8"/>
    <w:rsid w:val="00366B85"/>
    <w:rsid w:val="00366E5B"/>
    <w:rsid w:val="003770C9"/>
    <w:rsid w:val="00384F25"/>
    <w:rsid w:val="00385BAE"/>
    <w:rsid w:val="00386E4E"/>
    <w:rsid w:val="00394975"/>
    <w:rsid w:val="003A70B8"/>
    <w:rsid w:val="003B2AEF"/>
    <w:rsid w:val="003B2BA7"/>
    <w:rsid w:val="003B5E0F"/>
    <w:rsid w:val="003B778A"/>
    <w:rsid w:val="003B7E02"/>
    <w:rsid w:val="003C2604"/>
    <w:rsid w:val="003C4C3D"/>
    <w:rsid w:val="003D4B6B"/>
    <w:rsid w:val="003E5594"/>
    <w:rsid w:val="003F523B"/>
    <w:rsid w:val="00410003"/>
    <w:rsid w:val="00421977"/>
    <w:rsid w:val="00435549"/>
    <w:rsid w:val="00444638"/>
    <w:rsid w:val="0044631A"/>
    <w:rsid w:val="0045711C"/>
    <w:rsid w:val="00460E14"/>
    <w:rsid w:val="00461356"/>
    <w:rsid w:val="00463282"/>
    <w:rsid w:val="00464CF3"/>
    <w:rsid w:val="00464DAF"/>
    <w:rsid w:val="00466AF7"/>
    <w:rsid w:val="00466F3F"/>
    <w:rsid w:val="00491F66"/>
    <w:rsid w:val="00493BF4"/>
    <w:rsid w:val="00495009"/>
    <w:rsid w:val="00496D59"/>
    <w:rsid w:val="004A5E69"/>
    <w:rsid w:val="004A5FC7"/>
    <w:rsid w:val="004B1E18"/>
    <w:rsid w:val="004B25D6"/>
    <w:rsid w:val="004B4769"/>
    <w:rsid w:val="004D55CF"/>
    <w:rsid w:val="004D6E3E"/>
    <w:rsid w:val="004F1F32"/>
    <w:rsid w:val="005001F7"/>
    <w:rsid w:val="00510E26"/>
    <w:rsid w:val="00512AA1"/>
    <w:rsid w:val="00520334"/>
    <w:rsid w:val="00523CAC"/>
    <w:rsid w:val="00531BD9"/>
    <w:rsid w:val="00532D4A"/>
    <w:rsid w:val="00542A51"/>
    <w:rsid w:val="00547FCD"/>
    <w:rsid w:val="00553694"/>
    <w:rsid w:val="00564324"/>
    <w:rsid w:val="00566FE1"/>
    <w:rsid w:val="0057484A"/>
    <w:rsid w:val="00575A28"/>
    <w:rsid w:val="005768BA"/>
    <w:rsid w:val="00584810"/>
    <w:rsid w:val="005859DA"/>
    <w:rsid w:val="005916DD"/>
    <w:rsid w:val="005934C2"/>
    <w:rsid w:val="00597F87"/>
    <w:rsid w:val="005A19B2"/>
    <w:rsid w:val="005B4137"/>
    <w:rsid w:val="005B4785"/>
    <w:rsid w:val="005C04C5"/>
    <w:rsid w:val="005C11A4"/>
    <w:rsid w:val="005C2374"/>
    <w:rsid w:val="005C44A4"/>
    <w:rsid w:val="005C46B1"/>
    <w:rsid w:val="005D57B2"/>
    <w:rsid w:val="005D590D"/>
    <w:rsid w:val="005E5138"/>
    <w:rsid w:val="005F2D22"/>
    <w:rsid w:val="005F6865"/>
    <w:rsid w:val="005F70EF"/>
    <w:rsid w:val="006025CC"/>
    <w:rsid w:val="00603397"/>
    <w:rsid w:val="006044F1"/>
    <w:rsid w:val="00612787"/>
    <w:rsid w:val="00614A66"/>
    <w:rsid w:val="00616C97"/>
    <w:rsid w:val="00625F14"/>
    <w:rsid w:val="00637B15"/>
    <w:rsid w:val="00646DAD"/>
    <w:rsid w:val="00652204"/>
    <w:rsid w:val="006541C2"/>
    <w:rsid w:val="00657019"/>
    <w:rsid w:val="00667B42"/>
    <w:rsid w:val="00680CE1"/>
    <w:rsid w:val="0068164A"/>
    <w:rsid w:val="006818F3"/>
    <w:rsid w:val="00687B03"/>
    <w:rsid w:val="00691DCB"/>
    <w:rsid w:val="00693A64"/>
    <w:rsid w:val="006970BD"/>
    <w:rsid w:val="006A069E"/>
    <w:rsid w:val="006A16A0"/>
    <w:rsid w:val="006B0D33"/>
    <w:rsid w:val="006C3FB0"/>
    <w:rsid w:val="006C4C11"/>
    <w:rsid w:val="006D36E9"/>
    <w:rsid w:val="006F33E6"/>
    <w:rsid w:val="006F54A3"/>
    <w:rsid w:val="00702568"/>
    <w:rsid w:val="007104C3"/>
    <w:rsid w:val="007153D2"/>
    <w:rsid w:val="0071748E"/>
    <w:rsid w:val="007235C8"/>
    <w:rsid w:val="00724B7B"/>
    <w:rsid w:val="00735655"/>
    <w:rsid w:val="00741478"/>
    <w:rsid w:val="007508FE"/>
    <w:rsid w:val="00751260"/>
    <w:rsid w:val="00752AAA"/>
    <w:rsid w:val="00754841"/>
    <w:rsid w:val="0076037A"/>
    <w:rsid w:val="007652AE"/>
    <w:rsid w:val="00765D0E"/>
    <w:rsid w:val="0077395D"/>
    <w:rsid w:val="00780FC1"/>
    <w:rsid w:val="00787D43"/>
    <w:rsid w:val="007926CA"/>
    <w:rsid w:val="00796742"/>
    <w:rsid w:val="007977F0"/>
    <w:rsid w:val="007A5869"/>
    <w:rsid w:val="007B025C"/>
    <w:rsid w:val="007B7273"/>
    <w:rsid w:val="007C5013"/>
    <w:rsid w:val="007C7486"/>
    <w:rsid w:val="007D0381"/>
    <w:rsid w:val="007D3FEC"/>
    <w:rsid w:val="007E18C5"/>
    <w:rsid w:val="00805962"/>
    <w:rsid w:val="00805B0D"/>
    <w:rsid w:val="00805D6E"/>
    <w:rsid w:val="00806D9F"/>
    <w:rsid w:val="00811F7D"/>
    <w:rsid w:val="00820A25"/>
    <w:rsid w:val="00821C9A"/>
    <w:rsid w:val="00824CD5"/>
    <w:rsid w:val="008252F5"/>
    <w:rsid w:val="00830A5C"/>
    <w:rsid w:val="0083142F"/>
    <w:rsid w:val="008373C8"/>
    <w:rsid w:val="008409ED"/>
    <w:rsid w:val="00845C1E"/>
    <w:rsid w:val="00846545"/>
    <w:rsid w:val="00850780"/>
    <w:rsid w:val="008532FB"/>
    <w:rsid w:val="00853750"/>
    <w:rsid w:val="008665CC"/>
    <w:rsid w:val="00892E00"/>
    <w:rsid w:val="00896E45"/>
    <w:rsid w:val="008A5955"/>
    <w:rsid w:val="008A59E1"/>
    <w:rsid w:val="008A79D9"/>
    <w:rsid w:val="008B0A79"/>
    <w:rsid w:val="008B5595"/>
    <w:rsid w:val="008C56C0"/>
    <w:rsid w:val="008D0233"/>
    <w:rsid w:val="008D104C"/>
    <w:rsid w:val="008D2077"/>
    <w:rsid w:val="008D47F9"/>
    <w:rsid w:val="008D5E3B"/>
    <w:rsid w:val="008E1490"/>
    <w:rsid w:val="008E254B"/>
    <w:rsid w:val="008E7E9A"/>
    <w:rsid w:val="008F2B35"/>
    <w:rsid w:val="008F2D75"/>
    <w:rsid w:val="008F44EC"/>
    <w:rsid w:val="008F4A34"/>
    <w:rsid w:val="009073A0"/>
    <w:rsid w:val="009132A2"/>
    <w:rsid w:val="009279A0"/>
    <w:rsid w:val="009403A5"/>
    <w:rsid w:val="009408F8"/>
    <w:rsid w:val="00942883"/>
    <w:rsid w:val="009457B7"/>
    <w:rsid w:val="009564D7"/>
    <w:rsid w:val="00961236"/>
    <w:rsid w:val="0096170D"/>
    <w:rsid w:val="00983843"/>
    <w:rsid w:val="00985A12"/>
    <w:rsid w:val="0098624D"/>
    <w:rsid w:val="00990859"/>
    <w:rsid w:val="009A0158"/>
    <w:rsid w:val="009C3E8C"/>
    <w:rsid w:val="009C4383"/>
    <w:rsid w:val="009D689D"/>
    <w:rsid w:val="009E699E"/>
    <w:rsid w:val="009E7589"/>
    <w:rsid w:val="00A000C1"/>
    <w:rsid w:val="00A136D5"/>
    <w:rsid w:val="00A15B0E"/>
    <w:rsid w:val="00A2006D"/>
    <w:rsid w:val="00A214D1"/>
    <w:rsid w:val="00A257C0"/>
    <w:rsid w:val="00A26F51"/>
    <w:rsid w:val="00A27801"/>
    <w:rsid w:val="00A36499"/>
    <w:rsid w:val="00A45578"/>
    <w:rsid w:val="00A5654D"/>
    <w:rsid w:val="00A636C5"/>
    <w:rsid w:val="00A72380"/>
    <w:rsid w:val="00A74B42"/>
    <w:rsid w:val="00A76297"/>
    <w:rsid w:val="00A82270"/>
    <w:rsid w:val="00A831B6"/>
    <w:rsid w:val="00A94A89"/>
    <w:rsid w:val="00A94B77"/>
    <w:rsid w:val="00A97767"/>
    <w:rsid w:val="00AA5CD8"/>
    <w:rsid w:val="00AA69EE"/>
    <w:rsid w:val="00AB114B"/>
    <w:rsid w:val="00AD765C"/>
    <w:rsid w:val="00AD7AE6"/>
    <w:rsid w:val="00AE7A88"/>
    <w:rsid w:val="00AF1727"/>
    <w:rsid w:val="00AF3E7B"/>
    <w:rsid w:val="00AF481F"/>
    <w:rsid w:val="00B11ED4"/>
    <w:rsid w:val="00B139D6"/>
    <w:rsid w:val="00B13D0B"/>
    <w:rsid w:val="00B1608A"/>
    <w:rsid w:val="00B167DF"/>
    <w:rsid w:val="00B2156A"/>
    <w:rsid w:val="00B26C68"/>
    <w:rsid w:val="00B270E8"/>
    <w:rsid w:val="00B37F07"/>
    <w:rsid w:val="00B40001"/>
    <w:rsid w:val="00B4387A"/>
    <w:rsid w:val="00B441EE"/>
    <w:rsid w:val="00B5512C"/>
    <w:rsid w:val="00B5651C"/>
    <w:rsid w:val="00B57AF1"/>
    <w:rsid w:val="00B62F0F"/>
    <w:rsid w:val="00B64C50"/>
    <w:rsid w:val="00B6672D"/>
    <w:rsid w:val="00B71539"/>
    <w:rsid w:val="00B7557D"/>
    <w:rsid w:val="00B7782F"/>
    <w:rsid w:val="00B91D98"/>
    <w:rsid w:val="00B95EF8"/>
    <w:rsid w:val="00BA2C2B"/>
    <w:rsid w:val="00BA3E4C"/>
    <w:rsid w:val="00BA52CE"/>
    <w:rsid w:val="00BB1C67"/>
    <w:rsid w:val="00BB4450"/>
    <w:rsid w:val="00BB520C"/>
    <w:rsid w:val="00BB6702"/>
    <w:rsid w:val="00BC621F"/>
    <w:rsid w:val="00BC7698"/>
    <w:rsid w:val="00BD034D"/>
    <w:rsid w:val="00BE46E4"/>
    <w:rsid w:val="00BF65EE"/>
    <w:rsid w:val="00BF6687"/>
    <w:rsid w:val="00C018BD"/>
    <w:rsid w:val="00C0657F"/>
    <w:rsid w:val="00C11327"/>
    <w:rsid w:val="00C13A6C"/>
    <w:rsid w:val="00C14DA1"/>
    <w:rsid w:val="00C20204"/>
    <w:rsid w:val="00C25E44"/>
    <w:rsid w:val="00C27F57"/>
    <w:rsid w:val="00C368D8"/>
    <w:rsid w:val="00C378DC"/>
    <w:rsid w:val="00C40BF7"/>
    <w:rsid w:val="00C43821"/>
    <w:rsid w:val="00C43B1E"/>
    <w:rsid w:val="00C46EC0"/>
    <w:rsid w:val="00C47AF6"/>
    <w:rsid w:val="00C47DDE"/>
    <w:rsid w:val="00C55683"/>
    <w:rsid w:val="00C60759"/>
    <w:rsid w:val="00C612BC"/>
    <w:rsid w:val="00C67194"/>
    <w:rsid w:val="00C72A04"/>
    <w:rsid w:val="00C91053"/>
    <w:rsid w:val="00C97C89"/>
    <w:rsid w:val="00CA1FC7"/>
    <w:rsid w:val="00CA20E2"/>
    <w:rsid w:val="00CA4C74"/>
    <w:rsid w:val="00CA68BE"/>
    <w:rsid w:val="00CA6DB3"/>
    <w:rsid w:val="00CA743C"/>
    <w:rsid w:val="00CB120C"/>
    <w:rsid w:val="00CB205B"/>
    <w:rsid w:val="00CB4062"/>
    <w:rsid w:val="00CB6DD1"/>
    <w:rsid w:val="00CC3E19"/>
    <w:rsid w:val="00CC47A7"/>
    <w:rsid w:val="00CC5722"/>
    <w:rsid w:val="00CC67E3"/>
    <w:rsid w:val="00CD3DEF"/>
    <w:rsid w:val="00CD42E8"/>
    <w:rsid w:val="00CD5168"/>
    <w:rsid w:val="00CD7C80"/>
    <w:rsid w:val="00CE3233"/>
    <w:rsid w:val="00CE62F3"/>
    <w:rsid w:val="00CF5EAC"/>
    <w:rsid w:val="00D0702B"/>
    <w:rsid w:val="00D319AE"/>
    <w:rsid w:val="00D35098"/>
    <w:rsid w:val="00D40460"/>
    <w:rsid w:val="00D4638A"/>
    <w:rsid w:val="00D5123F"/>
    <w:rsid w:val="00D62712"/>
    <w:rsid w:val="00D62F58"/>
    <w:rsid w:val="00D80383"/>
    <w:rsid w:val="00D840E7"/>
    <w:rsid w:val="00D923F3"/>
    <w:rsid w:val="00D92F34"/>
    <w:rsid w:val="00DB345C"/>
    <w:rsid w:val="00DC7BA4"/>
    <w:rsid w:val="00DD08A6"/>
    <w:rsid w:val="00DD517A"/>
    <w:rsid w:val="00DE274B"/>
    <w:rsid w:val="00DE7801"/>
    <w:rsid w:val="00DE7CD9"/>
    <w:rsid w:val="00DF079B"/>
    <w:rsid w:val="00DF1A9F"/>
    <w:rsid w:val="00DF4BEB"/>
    <w:rsid w:val="00DF5E4F"/>
    <w:rsid w:val="00E163AC"/>
    <w:rsid w:val="00E2123C"/>
    <w:rsid w:val="00E21D13"/>
    <w:rsid w:val="00E2411B"/>
    <w:rsid w:val="00E25BF5"/>
    <w:rsid w:val="00E25D6A"/>
    <w:rsid w:val="00E331E8"/>
    <w:rsid w:val="00E4117F"/>
    <w:rsid w:val="00E4311E"/>
    <w:rsid w:val="00E43FD5"/>
    <w:rsid w:val="00E66394"/>
    <w:rsid w:val="00E71686"/>
    <w:rsid w:val="00E93666"/>
    <w:rsid w:val="00E93E4C"/>
    <w:rsid w:val="00EA036D"/>
    <w:rsid w:val="00EA2981"/>
    <w:rsid w:val="00EA3EE4"/>
    <w:rsid w:val="00EA4E7A"/>
    <w:rsid w:val="00EA4FA0"/>
    <w:rsid w:val="00EA5403"/>
    <w:rsid w:val="00EC0157"/>
    <w:rsid w:val="00EC01D2"/>
    <w:rsid w:val="00EC4993"/>
    <w:rsid w:val="00EC5747"/>
    <w:rsid w:val="00EC7FE8"/>
    <w:rsid w:val="00ED2B37"/>
    <w:rsid w:val="00EE0B4B"/>
    <w:rsid w:val="00EF2151"/>
    <w:rsid w:val="00F106A4"/>
    <w:rsid w:val="00F15509"/>
    <w:rsid w:val="00F2254A"/>
    <w:rsid w:val="00F25E79"/>
    <w:rsid w:val="00F27A95"/>
    <w:rsid w:val="00F27D31"/>
    <w:rsid w:val="00F32619"/>
    <w:rsid w:val="00F355DA"/>
    <w:rsid w:val="00F3711F"/>
    <w:rsid w:val="00F40413"/>
    <w:rsid w:val="00F449FE"/>
    <w:rsid w:val="00F4695A"/>
    <w:rsid w:val="00F50602"/>
    <w:rsid w:val="00F518C5"/>
    <w:rsid w:val="00F57497"/>
    <w:rsid w:val="00F61289"/>
    <w:rsid w:val="00F61CB5"/>
    <w:rsid w:val="00F630DE"/>
    <w:rsid w:val="00F64D81"/>
    <w:rsid w:val="00F64E71"/>
    <w:rsid w:val="00F716B3"/>
    <w:rsid w:val="00F91FDD"/>
    <w:rsid w:val="00F94432"/>
    <w:rsid w:val="00FA5F87"/>
    <w:rsid w:val="00FA71CA"/>
    <w:rsid w:val="00FB622F"/>
    <w:rsid w:val="00FB7AF3"/>
    <w:rsid w:val="00FC1527"/>
    <w:rsid w:val="00FD59A6"/>
    <w:rsid w:val="00FE3B17"/>
    <w:rsid w:val="00FE785A"/>
    <w:rsid w:val="00FF7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DA1"/>
    <w:rPr>
      <w:rFonts w:ascii="Times New Roman" w:eastAsia="Times New Roman" w:hAnsi="Times New Roman"/>
      <w:sz w:val="24"/>
      <w:szCs w:val="24"/>
    </w:rPr>
  </w:style>
  <w:style w:type="paragraph" w:styleId="Heading1">
    <w:name w:val="heading 1"/>
    <w:basedOn w:val="Normal"/>
    <w:next w:val="Normal"/>
    <w:link w:val="Heading1Char"/>
    <w:qFormat/>
    <w:rsid w:val="00227AD3"/>
    <w:pPr>
      <w:keepNext/>
      <w:jc w:val="center"/>
      <w:outlineLvl w:val="0"/>
    </w:pPr>
    <w:rPr>
      <w:rFonts w:ascii="AGaramond Bold" w:hAnsi="AGaramond Bold"/>
      <w:sz w:val="48"/>
    </w:rPr>
  </w:style>
  <w:style w:type="paragraph" w:styleId="Heading2">
    <w:name w:val="heading 2"/>
    <w:basedOn w:val="Normal"/>
    <w:next w:val="Normal"/>
    <w:link w:val="Heading2Char"/>
    <w:qFormat/>
    <w:rsid w:val="00C14DA1"/>
    <w:pPr>
      <w:keepNext/>
      <w:jc w:val="center"/>
      <w:outlineLvl w:val="1"/>
    </w:pPr>
    <w:rPr>
      <w:rFonts w:ascii="AGaramond Bold" w:hAnsi="AGaramond Bold"/>
      <w:b/>
      <w:bCs/>
      <w:sz w:val="48"/>
    </w:rPr>
  </w:style>
  <w:style w:type="paragraph" w:styleId="Heading3">
    <w:name w:val="heading 3"/>
    <w:basedOn w:val="Normal"/>
    <w:next w:val="Normal"/>
    <w:link w:val="Heading3Char"/>
    <w:semiHidden/>
    <w:unhideWhenUsed/>
    <w:qFormat/>
    <w:rsid w:val="00227AD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14DA1"/>
    <w:rPr>
      <w:rFonts w:ascii="AGaramond Bold" w:eastAsia="Times New Roman" w:hAnsi="AGaramond Bold" w:cs="Times New Roman"/>
      <w:b/>
      <w:bCs/>
      <w:sz w:val="48"/>
      <w:szCs w:val="24"/>
    </w:rPr>
  </w:style>
  <w:style w:type="paragraph" w:styleId="Footer">
    <w:name w:val="footer"/>
    <w:basedOn w:val="Normal"/>
    <w:link w:val="FooterChar"/>
    <w:rsid w:val="00C14DA1"/>
    <w:pPr>
      <w:tabs>
        <w:tab w:val="center" w:pos="4320"/>
        <w:tab w:val="right" w:pos="8640"/>
      </w:tabs>
    </w:pPr>
  </w:style>
  <w:style w:type="character" w:customStyle="1" w:styleId="FooterChar">
    <w:name w:val="Footer Char"/>
    <w:link w:val="Footer"/>
    <w:rsid w:val="00C14DA1"/>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C14DA1"/>
    <w:rPr>
      <w:rFonts w:ascii="Tahoma" w:hAnsi="Tahoma" w:cs="Tahoma"/>
      <w:sz w:val="16"/>
      <w:szCs w:val="16"/>
    </w:rPr>
  </w:style>
  <w:style w:type="character" w:customStyle="1" w:styleId="BalloonTextChar">
    <w:name w:val="Balloon Text Char"/>
    <w:link w:val="BalloonText"/>
    <w:uiPriority w:val="99"/>
    <w:semiHidden/>
    <w:rsid w:val="00C14DA1"/>
    <w:rPr>
      <w:rFonts w:ascii="Tahoma" w:eastAsia="Times New Roman" w:hAnsi="Tahoma" w:cs="Tahoma"/>
      <w:sz w:val="16"/>
      <w:szCs w:val="16"/>
    </w:rPr>
  </w:style>
  <w:style w:type="character" w:customStyle="1" w:styleId="Heading1Char">
    <w:name w:val="Heading 1 Char"/>
    <w:link w:val="Heading1"/>
    <w:rsid w:val="00227AD3"/>
    <w:rPr>
      <w:rFonts w:ascii="AGaramond Bold" w:eastAsia="Times New Roman" w:hAnsi="AGaramond Bold" w:cs="Times New Roman"/>
      <w:sz w:val="48"/>
      <w:szCs w:val="24"/>
    </w:rPr>
  </w:style>
  <w:style w:type="character" w:customStyle="1" w:styleId="Heading3Char">
    <w:name w:val="Heading 3 Char"/>
    <w:link w:val="Heading3"/>
    <w:semiHidden/>
    <w:rsid w:val="00227AD3"/>
    <w:rPr>
      <w:rFonts w:ascii="Cambria" w:eastAsia="Times New Roman" w:hAnsi="Cambria" w:cs="Times New Roman"/>
      <w:b/>
      <w:bCs/>
      <w:sz w:val="26"/>
      <w:szCs w:val="26"/>
    </w:rPr>
  </w:style>
  <w:style w:type="paragraph" w:styleId="Header">
    <w:name w:val="header"/>
    <w:basedOn w:val="Normal"/>
    <w:link w:val="HeaderChar"/>
    <w:uiPriority w:val="99"/>
    <w:rsid w:val="00227AD3"/>
    <w:pPr>
      <w:tabs>
        <w:tab w:val="center" w:pos="4320"/>
        <w:tab w:val="right" w:pos="8640"/>
      </w:tabs>
    </w:pPr>
  </w:style>
  <w:style w:type="character" w:customStyle="1" w:styleId="HeaderChar">
    <w:name w:val="Header Char"/>
    <w:link w:val="Header"/>
    <w:uiPriority w:val="99"/>
    <w:rsid w:val="00227AD3"/>
    <w:rPr>
      <w:rFonts w:ascii="Times New Roman" w:eastAsia="Times New Roman" w:hAnsi="Times New Roman" w:cs="Times New Roman"/>
      <w:sz w:val="24"/>
      <w:szCs w:val="24"/>
    </w:rPr>
  </w:style>
  <w:style w:type="character" w:styleId="Hyperlink">
    <w:name w:val="Hyperlink"/>
    <w:uiPriority w:val="99"/>
    <w:rsid w:val="00227AD3"/>
    <w:rPr>
      <w:color w:val="0000FF"/>
      <w:u w:val="single"/>
    </w:rPr>
  </w:style>
  <w:style w:type="character" w:customStyle="1" w:styleId="EmailStyle191">
    <w:name w:val="EmailStyle191"/>
    <w:semiHidden/>
    <w:rsid w:val="00227AD3"/>
    <w:rPr>
      <w:rFonts w:ascii="Georgia" w:hAnsi="Georgia"/>
      <w:b w:val="0"/>
      <w:bCs w:val="0"/>
      <w:i w:val="0"/>
      <w:iCs w:val="0"/>
      <w:strike w:val="0"/>
      <w:color w:val="0000FF"/>
      <w:sz w:val="20"/>
      <w:szCs w:val="20"/>
      <w:u w:val="none"/>
    </w:rPr>
  </w:style>
  <w:style w:type="paragraph" w:customStyle="1" w:styleId="ctext">
    <w:name w:val="ctext"/>
    <w:basedOn w:val="Normal"/>
    <w:rsid w:val="00227AD3"/>
    <w:pPr>
      <w:autoSpaceDE w:val="0"/>
      <w:autoSpaceDN w:val="0"/>
      <w:spacing w:before="120" w:after="60"/>
    </w:pPr>
    <w:rPr>
      <w:rFonts w:ascii="LLBKHM+Arial" w:hAnsi="LLBKHM+Arial"/>
    </w:rPr>
  </w:style>
  <w:style w:type="paragraph" w:styleId="FootnoteText">
    <w:name w:val="footnote text"/>
    <w:basedOn w:val="Normal"/>
    <w:link w:val="FootnoteTextChar"/>
    <w:semiHidden/>
    <w:rsid w:val="00227AD3"/>
    <w:rPr>
      <w:sz w:val="20"/>
      <w:szCs w:val="20"/>
    </w:rPr>
  </w:style>
  <w:style w:type="character" w:customStyle="1" w:styleId="FootnoteTextChar">
    <w:name w:val="Footnote Text Char"/>
    <w:link w:val="FootnoteText"/>
    <w:semiHidden/>
    <w:rsid w:val="00227AD3"/>
    <w:rPr>
      <w:rFonts w:ascii="Times New Roman" w:eastAsia="Times New Roman" w:hAnsi="Times New Roman" w:cs="Times New Roman"/>
      <w:sz w:val="20"/>
      <w:szCs w:val="20"/>
    </w:rPr>
  </w:style>
  <w:style w:type="character" w:styleId="FootnoteReference">
    <w:name w:val="footnote reference"/>
    <w:semiHidden/>
    <w:rsid w:val="00227AD3"/>
    <w:rPr>
      <w:vertAlign w:val="superscript"/>
    </w:rPr>
  </w:style>
  <w:style w:type="character" w:styleId="PageNumber">
    <w:name w:val="page number"/>
    <w:basedOn w:val="DefaultParagraphFont"/>
    <w:rsid w:val="00227AD3"/>
  </w:style>
  <w:style w:type="paragraph" w:styleId="BodyText">
    <w:name w:val="Body Text"/>
    <w:basedOn w:val="Normal"/>
    <w:link w:val="BodyTextChar"/>
    <w:rsid w:val="00227AD3"/>
    <w:pPr>
      <w:jc w:val="center"/>
    </w:pPr>
    <w:rPr>
      <w:rFonts w:ascii="Comic Sans MS" w:hAnsi="Comic Sans MS"/>
      <w:b/>
      <w:szCs w:val="20"/>
    </w:rPr>
  </w:style>
  <w:style w:type="character" w:customStyle="1" w:styleId="BodyTextChar">
    <w:name w:val="Body Text Char"/>
    <w:link w:val="BodyText"/>
    <w:rsid w:val="00227AD3"/>
    <w:rPr>
      <w:rFonts w:ascii="Comic Sans MS" w:eastAsia="Times New Roman" w:hAnsi="Comic Sans MS" w:cs="Times New Roman"/>
      <w:b/>
      <w:sz w:val="24"/>
      <w:szCs w:val="20"/>
    </w:rPr>
  </w:style>
  <w:style w:type="paragraph" w:styleId="ListParagraph">
    <w:name w:val="List Paragraph"/>
    <w:basedOn w:val="Normal"/>
    <w:uiPriority w:val="34"/>
    <w:qFormat/>
    <w:rsid w:val="00227AD3"/>
    <w:pPr>
      <w:ind w:left="720"/>
    </w:pPr>
  </w:style>
  <w:style w:type="paragraph" w:customStyle="1" w:styleId="listparagraph0">
    <w:name w:val="listparagraph"/>
    <w:basedOn w:val="Normal"/>
    <w:rsid w:val="00227AD3"/>
    <w:pPr>
      <w:ind w:left="720"/>
    </w:pPr>
    <w:rPr>
      <w:rFonts w:eastAsia="Calibri"/>
    </w:rPr>
  </w:style>
  <w:style w:type="numbering" w:customStyle="1" w:styleId="Style1">
    <w:name w:val="Style1"/>
    <w:rsid w:val="00227AD3"/>
    <w:pPr>
      <w:numPr>
        <w:numId w:val="1"/>
      </w:numPr>
    </w:pPr>
  </w:style>
  <w:style w:type="paragraph" w:customStyle="1" w:styleId="Default">
    <w:name w:val="Default"/>
    <w:basedOn w:val="Normal"/>
    <w:rsid w:val="00227AD3"/>
    <w:pPr>
      <w:autoSpaceDE w:val="0"/>
      <w:autoSpaceDN w:val="0"/>
    </w:pPr>
    <w:rPr>
      <w:rFonts w:ascii="Arial" w:eastAsia="Calibri" w:hAnsi="Arial" w:cs="Arial"/>
      <w:color w:val="000000"/>
    </w:rPr>
  </w:style>
  <w:style w:type="character" w:styleId="FollowedHyperlink">
    <w:name w:val="FollowedHyperlink"/>
    <w:uiPriority w:val="99"/>
    <w:rsid w:val="00227AD3"/>
    <w:rPr>
      <w:color w:val="800080"/>
      <w:u w:val="single"/>
    </w:rPr>
  </w:style>
  <w:style w:type="paragraph" w:styleId="BodyText2">
    <w:name w:val="Body Text 2"/>
    <w:basedOn w:val="Normal"/>
    <w:link w:val="BodyText2Char"/>
    <w:rsid w:val="00227AD3"/>
    <w:rPr>
      <w:rFonts w:ascii="Bookman Old Style" w:hAnsi="Bookman Old Style"/>
      <w:b/>
      <w:sz w:val="22"/>
      <w:szCs w:val="20"/>
    </w:rPr>
  </w:style>
  <w:style w:type="character" w:customStyle="1" w:styleId="BodyText2Char">
    <w:name w:val="Body Text 2 Char"/>
    <w:link w:val="BodyText2"/>
    <w:rsid w:val="00227AD3"/>
    <w:rPr>
      <w:rFonts w:ascii="Bookman Old Style" w:eastAsia="Times New Roman" w:hAnsi="Bookman Old Style" w:cs="Times New Roman"/>
      <w:b/>
      <w:szCs w:val="20"/>
    </w:rPr>
  </w:style>
  <w:style w:type="paragraph" w:styleId="Title">
    <w:name w:val="Title"/>
    <w:basedOn w:val="Normal"/>
    <w:link w:val="TitleChar"/>
    <w:qFormat/>
    <w:rsid w:val="00227AD3"/>
    <w:pPr>
      <w:jc w:val="center"/>
    </w:pPr>
    <w:rPr>
      <w:rFonts w:ascii="Bookman Old Style" w:hAnsi="Bookman Old Style"/>
      <w:b/>
      <w:sz w:val="22"/>
      <w:szCs w:val="20"/>
    </w:rPr>
  </w:style>
  <w:style w:type="character" w:customStyle="1" w:styleId="TitleChar">
    <w:name w:val="Title Char"/>
    <w:link w:val="Title"/>
    <w:rsid w:val="00227AD3"/>
    <w:rPr>
      <w:rFonts w:ascii="Bookman Old Style" w:eastAsia="Times New Roman" w:hAnsi="Bookman Old Style" w:cs="Times New Roman"/>
      <w:b/>
      <w:szCs w:val="20"/>
    </w:rPr>
  </w:style>
  <w:style w:type="paragraph" w:customStyle="1" w:styleId="Pa1">
    <w:name w:val="Pa1"/>
    <w:basedOn w:val="Default"/>
    <w:next w:val="Default"/>
    <w:uiPriority w:val="99"/>
    <w:rsid w:val="00227AD3"/>
    <w:pPr>
      <w:adjustRightInd w:val="0"/>
      <w:spacing w:line="241" w:lineRule="atLeast"/>
    </w:pPr>
    <w:rPr>
      <w:rFonts w:ascii="Myriad Pro" w:eastAsia="Times New Roman" w:hAnsi="Myriad Pro" w:cs="Times New Roman"/>
      <w:color w:val="auto"/>
    </w:rPr>
  </w:style>
  <w:style w:type="character" w:customStyle="1" w:styleId="A2">
    <w:name w:val="A2"/>
    <w:uiPriority w:val="99"/>
    <w:rsid w:val="00227AD3"/>
    <w:rPr>
      <w:rFonts w:cs="Myriad Pro"/>
      <w:b/>
      <w:bCs/>
      <w:color w:val="000000"/>
      <w:sz w:val="48"/>
      <w:szCs w:val="48"/>
    </w:rPr>
  </w:style>
  <w:style w:type="character" w:styleId="Emphasis">
    <w:name w:val="Emphasis"/>
    <w:uiPriority w:val="20"/>
    <w:qFormat/>
    <w:rsid w:val="00227AD3"/>
    <w:rPr>
      <w:i/>
      <w:iCs/>
    </w:rPr>
  </w:style>
  <w:style w:type="character" w:styleId="CommentReference">
    <w:name w:val="annotation reference"/>
    <w:rsid w:val="00227AD3"/>
    <w:rPr>
      <w:sz w:val="16"/>
      <w:szCs w:val="16"/>
    </w:rPr>
  </w:style>
  <w:style w:type="paragraph" w:styleId="CommentText">
    <w:name w:val="annotation text"/>
    <w:basedOn w:val="Normal"/>
    <w:link w:val="CommentTextChar"/>
    <w:rsid w:val="00227AD3"/>
    <w:rPr>
      <w:sz w:val="20"/>
      <w:szCs w:val="20"/>
    </w:rPr>
  </w:style>
  <w:style w:type="character" w:customStyle="1" w:styleId="CommentTextChar">
    <w:name w:val="Comment Text Char"/>
    <w:link w:val="CommentText"/>
    <w:rsid w:val="0022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27AD3"/>
    <w:rPr>
      <w:b/>
      <w:bCs/>
    </w:rPr>
  </w:style>
  <w:style w:type="character" w:customStyle="1" w:styleId="CommentSubjectChar">
    <w:name w:val="Comment Subject Char"/>
    <w:link w:val="CommentSubject"/>
    <w:rsid w:val="00227AD3"/>
    <w:rPr>
      <w:rFonts w:ascii="Times New Roman" w:eastAsia="Times New Roman" w:hAnsi="Times New Roman" w:cs="Times New Roman"/>
      <w:b/>
      <w:bCs/>
      <w:sz w:val="20"/>
      <w:szCs w:val="20"/>
    </w:rPr>
  </w:style>
  <w:style w:type="table" w:styleId="TableGrid">
    <w:name w:val="Table Grid"/>
    <w:basedOn w:val="TableNormal"/>
    <w:uiPriority w:val="59"/>
    <w:rsid w:val="00227AD3"/>
    <w:rPr>
      <w:rFonts w:ascii="Arial" w:hAnsi="Arial"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unhideWhenUsed/>
    <w:rsid w:val="00227AD3"/>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227AD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27AD3"/>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227AD3"/>
    <w:rPr>
      <w:rFonts w:ascii="Arial" w:eastAsia="Times New Roman" w:hAnsi="Arial" w:cs="Arial"/>
      <w:vanish/>
      <w:sz w:val="16"/>
      <w:szCs w:val="16"/>
    </w:rPr>
  </w:style>
  <w:style w:type="paragraph" w:customStyle="1" w:styleId="font5">
    <w:name w:val="font5"/>
    <w:basedOn w:val="Normal"/>
    <w:rsid w:val="00227AD3"/>
    <w:pPr>
      <w:spacing w:before="100" w:beforeAutospacing="1" w:after="100" w:afterAutospacing="1"/>
    </w:pPr>
    <w:rPr>
      <w:rFonts w:ascii="Arial" w:hAnsi="Arial" w:cs="Arial"/>
      <w:b/>
      <w:bCs/>
      <w:color w:val="000000"/>
      <w:sz w:val="16"/>
      <w:szCs w:val="16"/>
    </w:rPr>
  </w:style>
  <w:style w:type="paragraph" w:customStyle="1" w:styleId="font6">
    <w:name w:val="font6"/>
    <w:basedOn w:val="Normal"/>
    <w:rsid w:val="00227AD3"/>
    <w:pPr>
      <w:spacing w:before="100" w:beforeAutospacing="1" w:after="100" w:afterAutospacing="1"/>
    </w:pPr>
    <w:rPr>
      <w:rFonts w:ascii="Arial" w:hAnsi="Arial" w:cs="Arial"/>
      <w:b/>
      <w:bCs/>
      <w:color w:val="000000"/>
      <w:sz w:val="16"/>
      <w:szCs w:val="16"/>
    </w:rPr>
  </w:style>
  <w:style w:type="paragraph" w:customStyle="1" w:styleId="xl65">
    <w:name w:val="xl65"/>
    <w:basedOn w:val="Normal"/>
    <w:rsid w:val="00227AD3"/>
    <w:pPr>
      <w:pBdr>
        <w:right w:val="single" w:sz="8" w:space="0" w:color="auto"/>
      </w:pBdr>
      <w:shd w:val="clear" w:color="000000" w:fill="DDD9C3"/>
      <w:spacing w:before="100" w:beforeAutospacing="1" w:after="100" w:afterAutospacing="1"/>
      <w:jc w:val="center"/>
      <w:textAlignment w:val="center"/>
    </w:pPr>
    <w:rPr>
      <w:rFonts w:ascii="Arial" w:hAnsi="Arial" w:cs="Arial"/>
      <w:b/>
      <w:bCs/>
      <w:color w:val="000000"/>
      <w:sz w:val="16"/>
      <w:szCs w:val="16"/>
    </w:rPr>
  </w:style>
  <w:style w:type="paragraph" w:customStyle="1" w:styleId="xl66">
    <w:name w:val="xl66"/>
    <w:basedOn w:val="Normal"/>
    <w:rsid w:val="00227AD3"/>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67">
    <w:name w:val="xl67"/>
    <w:basedOn w:val="Normal"/>
    <w:rsid w:val="00227AD3"/>
    <w:pPr>
      <w:pBdr>
        <w:top w:val="single" w:sz="8" w:space="0" w:color="auto"/>
        <w:left w:val="single" w:sz="8" w:space="0" w:color="auto"/>
        <w:right w:val="single" w:sz="8" w:space="0" w:color="auto"/>
      </w:pBdr>
      <w:shd w:val="clear" w:color="000000" w:fill="DDD9C3"/>
      <w:spacing w:before="100" w:beforeAutospacing="1" w:after="100" w:afterAutospacing="1"/>
      <w:textAlignment w:val="center"/>
    </w:pPr>
    <w:rPr>
      <w:rFonts w:ascii="Arial" w:hAnsi="Arial" w:cs="Arial"/>
      <w:b/>
      <w:bCs/>
      <w:color w:val="000000"/>
      <w:sz w:val="16"/>
      <w:szCs w:val="16"/>
    </w:rPr>
  </w:style>
  <w:style w:type="paragraph" w:customStyle="1" w:styleId="xl68">
    <w:name w:val="xl68"/>
    <w:basedOn w:val="Normal"/>
    <w:rsid w:val="00227AD3"/>
    <w:pPr>
      <w:spacing w:before="100" w:beforeAutospacing="1" w:after="100" w:afterAutospacing="1"/>
      <w:textAlignment w:val="center"/>
    </w:pPr>
  </w:style>
  <w:style w:type="paragraph" w:customStyle="1" w:styleId="xl69">
    <w:name w:val="xl69"/>
    <w:basedOn w:val="Normal"/>
    <w:rsid w:val="00227AD3"/>
    <w:pPr>
      <w:spacing w:before="100" w:beforeAutospacing="1" w:after="100" w:afterAutospacing="1"/>
      <w:textAlignment w:val="center"/>
    </w:pPr>
  </w:style>
  <w:style w:type="paragraph" w:customStyle="1" w:styleId="xl70">
    <w:name w:val="xl70"/>
    <w:basedOn w:val="Normal"/>
    <w:rsid w:val="00227AD3"/>
    <w:pPr>
      <w:pBdr>
        <w:top w:val="single" w:sz="8" w:space="0" w:color="auto"/>
        <w:left w:val="single" w:sz="4" w:space="0" w:color="auto"/>
        <w:right w:val="single" w:sz="8" w:space="0" w:color="auto"/>
      </w:pBdr>
      <w:shd w:val="clear" w:color="000000" w:fill="DDD9C3"/>
      <w:spacing w:before="100" w:beforeAutospacing="1" w:after="100" w:afterAutospacing="1"/>
      <w:textAlignment w:val="center"/>
    </w:pPr>
    <w:rPr>
      <w:rFonts w:ascii="Arial" w:hAnsi="Arial" w:cs="Arial"/>
      <w:b/>
      <w:bCs/>
      <w:color w:val="000000"/>
      <w:sz w:val="16"/>
      <w:szCs w:val="16"/>
    </w:rPr>
  </w:style>
  <w:style w:type="paragraph" w:customStyle="1" w:styleId="xl71">
    <w:name w:val="xl71"/>
    <w:basedOn w:val="Normal"/>
    <w:rsid w:val="00227AD3"/>
    <w:pPr>
      <w:pBdr>
        <w:top w:val="single" w:sz="8" w:space="0" w:color="auto"/>
        <w:left w:val="single" w:sz="8" w:space="0" w:color="auto"/>
        <w:right w:val="single" w:sz="4" w:space="0" w:color="auto"/>
      </w:pBdr>
      <w:shd w:val="clear" w:color="000000" w:fill="DDD9C3"/>
      <w:spacing w:before="100" w:beforeAutospacing="1" w:after="100" w:afterAutospacing="1"/>
      <w:textAlignment w:val="center"/>
    </w:pPr>
    <w:rPr>
      <w:rFonts w:ascii="Arial" w:hAnsi="Arial" w:cs="Arial"/>
      <w:b/>
      <w:bCs/>
      <w:color w:val="000000"/>
      <w:sz w:val="16"/>
      <w:szCs w:val="16"/>
    </w:rPr>
  </w:style>
  <w:style w:type="paragraph" w:customStyle="1" w:styleId="xl72">
    <w:name w:val="xl72"/>
    <w:basedOn w:val="Normal"/>
    <w:rsid w:val="00227AD3"/>
    <w:pPr>
      <w:spacing w:before="100" w:beforeAutospacing="1" w:after="100" w:afterAutospacing="1"/>
      <w:textAlignment w:val="center"/>
    </w:pPr>
    <w:rPr>
      <w:rFonts w:ascii="Arial" w:hAnsi="Arial" w:cs="Arial"/>
      <w:sz w:val="16"/>
      <w:szCs w:val="16"/>
    </w:rPr>
  </w:style>
  <w:style w:type="paragraph" w:customStyle="1" w:styleId="xl73">
    <w:name w:val="xl73"/>
    <w:basedOn w:val="Normal"/>
    <w:rsid w:val="00227AD3"/>
    <w:pPr>
      <w:pBdr>
        <w:top w:val="single" w:sz="8" w:space="0" w:color="auto"/>
        <w:left w:val="single" w:sz="8" w:space="0" w:color="auto"/>
        <w:right w:val="single" w:sz="8" w:space="0" w:color="auto"/>
      </w:pBdr>
      <w:shd w:val="clear" w:color="000000" w:fill="DDD9C3"/>
      <w:spacing w:before="100" w:beforeAutospacing="1" w:after="100" w:afterAutospacing="1"/>
      <w:textAlignment w:val="center"/>
    </w:pPr>
    <w:rPr>
      <w:rFonts w:ascii="Arial" w:hAnsi="Arial" w:cs="Arial"/>
      <w:sz w:val="16"/>
      <w:szCs w:val="16"/>
    </w:rPr>
  </w:style>
  <w:style w:type="paragraph" w:customStyle="1" w:styleId="xl74">
    <w:name w:val="xl74"/>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5">
    <w:name w:val="xl75"/>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6">
    <w:name w:val="xl76"/>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79">
    <w:name w:val="xl79"/>
    <w:basedOn w:val="Normal"/>
    <w:rsid w:val="00227AD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0">
    <w:name w:val="xl80"/>
    <w:basedOn w:val="Normal"/>
    <w:rsid w:val="00227AD3"/>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Normal"/>
    <w:rsid w:val="00227AD3"/>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2">
    <w:name w:val="xl82"/>
    <w:basedOn w:val="Normal"/>
    <w:rsid w:val="00227AD3"/>
    <w:pPr>
      <w:pBdr>
        <w:bottom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3">
    <w:name w:val="xl83"/>
    <w:basedOn w:val="Normal"/>
    <w:rsid w:val="00227AD3"/>
    <w:pPr>
      <w:spacing w:before="100" w:beforeAutospacing="1" w:after="100" w:afterAutospacing="1"/>
      <w:jc w:val="center"/>
      <w:textAlignment w:val="center"/>
    </w:pPr>
    <w:rPr>
      <w:rFonts w:ascii="Arial" w:hAnsi="Arial" w:cs="Arial"/>
      <w:b/>
      <w:bCs/>
      <w:color w:val="000000"/>
      <w:sz w:val="16"/>
      <w:szCs w:val="16"/>
    </w:rPr>
  </w:style>
  <w:style w:type="paragraph" w:customStyle="1" w:styleId="xl84">
    <w:name w:val="xl84"/>
    <w:basedOn w:val="Normal"/>
    <w:rsid w:val="00227AD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5">
    <w:name w:val="xl85"/>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227AD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227AD3"/>
    <w:pPr>
      <w:pBdr>
        <w:top w:val="single" w:sz="8" w:space="0" w:color="auto"/>
        <w:left w:val="single" w:sz="4" w:space="0" w:color="auto"/>
        <w:bottom w:val="single" w:sz="8" w:space="0" w:color="auto"/>
        <w:right w:val="single" w:sz="4" w:space="0" w:color="auto"/>
      </w:pBdr>
      <w:shd w:val="thinDiagCross" w:color="000000" w:fill="auto"/>
      <w:spacing w:before="100" w:beforeAutospacing="1" w:after="100" w:afterAutospacing="1"/>
      <w:jc w:val="center"/>
      <w:textAlignment w:val="center"/>
    </w:pPr>
    <w:rPr>
      <w:rFonts w:ascii="Arial" w:hAnsi="Arial" w:cs="Arial"/>
      <w:b/>
      <w:bCs/>
      <w:color w:val="000000"/>
      <w:sz w:val="16"/>
      <w:szCs w:val="16"/>
    </w:rPr>
  </w:style>
  <w:style w:type="paragraph" w:customStyle="1" w:styleId="xl88">
    <w:name w:val="xl88"/>
    <w:basedOn w:val="Normal"/>
    <w:rsid w:val="00227AD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9">
    <w:name w:val="xl89"/>
    <w:basedOn w:val="Normal"/>
    <w:rsid w:val="00227AD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90">
    <w:name w:val="xl90"/>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1">
    <w:name w:val="xl91"/>
    <w:basedOn w:val="Normal"/>
    <w:rsid w:val="00227A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
    <w:rsid w:val="00227A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3">
    <w:name w:val="xl93"/>
    <w:basedOn w:val="Normal"/>
    <w:rsid w:val="00227A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4">
    <w:name w:val="xl94"/>
    <w:basedOn w:val="Normal"/>
    <w:rsid w:val="00227AD3"/>
    <w:pPr>
      <w:pBdr>
        <w:top w:val="single" w:sz="8" w:space="0" w:color="auto"/>
        <w:bottom w:val="single" w:sz="8" w:space="0" w:color="auto"/>
        <w:right w:val="single" w:sz="12"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95">
    <w:name w:val="xl95"/>
    <w:basedOn w:val="Normal"/>
    <w:rsid w:val="00227AD3"/>
    <w:pPr>
      <w:pBdr>
        <w:top w:val="single" w:sz="8" w:space="0" w:color="auto"/>
        <w:left w:val="single" w:sz="4" w:space="0" w:color="auto"/>
        <w:bottom w:val="single" w:sz="8" w:space="0" w:color="auto"/>
        <w:right w:val="single" w:sz="8" w:space="0" w:color="auto"/>
      </w:pBdr>
      <w:shd w:val="thinDiagCross" w:color="000000" w:fill="auto"/>
      <w:spacing w:before="100" w:beforeAutospacing="1" w:after="100" w:afterAutospacing="1"/>
      <w:jc w:val="center"/>
      <w:textAlignment w:val="center"/>
    </w:pPr>
    <w:rPr>
      <w:rFonts w:ascii="Arial" w:hAnsi="Arial" w:cs="Arial"/>
      <w:b/>
      <w:bCs/>
      <w:color w:val="000000"/>
      <w:sz w:val="16"/>
      <w:szCs w:val="16"/>
    </w:rPr>
  </w:style>
  <w:style w:type="paragraph" w:customStyle="1" w:styleId="xl96">
    <w:name w:val="xl96"/>
    <w:basedOn w:val="Normal"/>
    <w:rsid w:val="00227A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Normal"/>
    <w:rsid w:val="00227A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8">
    <w:name w:val="xl98"/>
    <w:basedOn w:val="Normal"/>
    <w:rsid w:val="00227A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9">
    <w:name w:val="xl99"/>
    <w:basedOn w:val="Normal"/>
    <w:rsid w:val="00227AD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0">
    <w:name w:val="xl100"/>
    <w:basedOn w:val="Normal"/>
    <w:rsid w:val="00227AD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1">
    <w:name w:val="xl101"/>
    <w:basedOn w:val="Normal"/>
    <w:rsid w:val="00227AD3"/>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02">
    <w:name w:val="xl102"/>
    <w:basedOn w:val="Normal"/>
    <w:rsid w:val="00227AD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Normal"/>
    <w:rsid w:val="00227AD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4">
    <w:name w:val="xl104"/>
    <w:basedOn w:val="Normal"/>
    <w:rsid w:val="00227AD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5">
    <w:name w:val="xl105"/>
    <w:basedOn w:val="Normal"/>
    <w:rsid w:val="00227AD3"/>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06">
    <w:name w:val="xl106"/>
    <w:basedOn w:val="Normal"/>
    <w:rsid w:val="00227AD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Normal"/>
    <w:rsid w:val="00227AD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8">
    <w:name w:val="xl108"/>
    <w:basedOn w:val="Normal"/>
    <w:rsid w:val="00227AD3"/>
    <w:pPr>
      <w:pBdr>
        <w:top w:val="single" w:sz="8" w:space="0" w:color="auto"/>
        <w:left w:val="single" w:sz="4" w:space="0" w:color="auto"/>
        <w:bottom w:val="single" w:sz="8" w:space="0" w:color="auto"/>
        <w:right w:val="single" w:sz="4" w:space="0" w:color="auto"/>
      </w:pBdr>
      <w:shd w:val="thinDiagCross" w:color="000000" w:fill="auto"/>
      <w:spacing w:before="100" w:beforeAutospacing="1" w:after="100" w:afterAutospacing="1"/>
      <w:textAlignment w:val="center"/>
    </w:pPr>
    <w:rPr>
      <w:rFonts w:ascii="Arial" w:hAnsi="Arial" w:cs="Arial"/>
      <w:b/>
      <w:bCs/>
      <w:color w:val="000000"/>
      <w:sz w:val="16"/>
      <w:szCs w:val="16"/>
    </w:rPr>
  </w:style>
  <w:style w:type="paragraph" w:customStyle="1" w:styleId="xl109">
    <w:name w:val="xl109"/>
    <w:basedOn w:val="Normal"/>
    <w:rsid w:val="00227AD3"/>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18"/>
      <w:szCs w:val="18"/>
    </w:rPr>
  </w:style>
  <w:style w:type="paragraph" w:customStyle="1" w:styleId="xl110">
    <w:name w:val="xl110"/>
    <w:basedOn w:val="Normal"/>
    <w:rsid w:val="00227AD3"/>
    <w:pPr>
      <w:pBdr>
        <w:top w:val="single" w:sz="8" w:space="0" w:color="auto"/>
        <w:left w:val="single" w:sz="4" w:space="0" w:color="auto"/>
        <w:bottom w:val="single" w:sz="8" w:space="0" w:color="auto"/>
        <w:right w:val="single" w:sz="4" w:space="0" w:color="auto"/>
      </w:pBdr>
      <w:shd w:val="thinDiagCross" w:color="000000" w:fill="auto"/>
      <w:spacing w:before="100" w:beforeAutospacing="1" w:after="100" w:afterAutospacing="1"/>
      <w:textAlignment w:val="center"/>
    </w:pPr>
    <w:rPr>
      <w:rFonts w:ascii="Arial" w:hAnsi="Arial" w:cs="Arial"/>
      <w:color w:val="000000"/>
      <w:sz w:val="16"/>
      <w:szCs w:val="16"/>
    </w:rPr>
  </w:style>
  <w:style w:type="paragraph" w:customStyle="1" w:styleId="xl111">
    <w:name w:val="xl111"/>
    <w:basedOn w:val="Normal"/>
    <w:rsid w:val="00227AD3"/>
    <w:pPr>
      <w:pBdr>
        <w:top w:val="single" w:sz="8" w:space="0" w:color="auto"/>
        <w:left w:val="single" w:sz="4" w:space="0" w:color="auto"/>
        <w:bottom w:val="single" w:sz="8" w:space="0" w:color="auto"/>
        <w:right w:val="single" w:sz="4" w:space="0" w:color="auto"/>
      </w:pBdr>
      <w:shd w:val="thinDiagCross" w:color="000000" w:fill="auto"/>
      <w:spacing w:before="100" w:beforeAutospacing="1" w:after="100" w:afterAutospacing="1"/>
      <w:jc w:val="center"/>
      <w:textAlignment w:val="center"/>
    </w:pPr>
    <w:rPr>
      <w:rFonts w:ascii="Arial" w:hAnsi="Arial" w:cs="Arial"/>
      <w:color w:val="000000"/>
      <w:sz w:val="16"/>
      <w:szCs w:val="16"/>
    </w:rPr>
  </w:style>
  <w:style w:type="paragraph" w:customStyle="1" w:styleId="xl112">
    <w:name w:val="xl112"/>
    <w:basedOn w:val="Normal"/>
    <w:rsid w:val="00227AD3"/>
    <w:pPr>
      <w:pBdr>
        <w:top w:val="single" w:sz="8" w:space="0" w:color="auto"/>
        <w:left w:val="single" w:sz="4" w:space="0" w:color="auto"/>
        <w:bottom w:val="single" w:sz="8" w:space="0" w:color="auto"/>
        <w:right w:val="single" w:sz="8" w:space="0" w:color="auto"/>
      </w:pBdr>
      <w:shd w:val="thinDiagCross" w:color="000000" w:fill="auto"/>
      <w:spacing w:before="100" w:beforeAutospacing="1" w:after="100" w:afterAutospacing="1"/>
      <w:jc w:val="center"/>
      <w:textAlignment w:val="center"/>
    </w:pPr>
    <w:rPr>
      <w:rFonts w:ascii="Arial" w:hAnsi="Arial" w:cs="Arial"/>
      <w:color w:val="000000"/>
      <w:sz w:val="16"/>
      <w:szCs w:val="16"/>
    </w:rPr>
  </w:style>
  <w:style w:type="paragraph" w:customStyle="1" w:styleId="xl113">
    <w:name w:val="xl113"/>
    <w:basedOn w:val="Normal"/>
    <w:rsid w:val="00227AD3"/>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14">
    <w:name w:val="xl114"/>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16">
    <w:name w:val="xl116"/>
    <w:basedOn w:val="Normal"/>
    <w:rsid w:val="00227A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7">
    <w:name w:val="xl117"/>
    <w:basedOn w:val="Normal"/>
    <w:rsid w:val="00227AD3"/>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
    <w:rsid w:val="00227A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9">
    <w:name w:val="xl119"/>
    <w:basedOn w:val="Normal"/>
    <w:rsid w:val="00227A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0">
    <w:name w:val="xl120"/>
    <w:basedOn w:val="Normal"/>
    <w:rsid w:val="00227AD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
    <w:rsid w:val="00227AD3"/>
    <w:pPr>
      <w:pBdr>
        <w:top w:val="single" w:sz="8" w:space="0" w:color="auto"/>
        <w:left w:val="single" w:sz="8" w:space="0" w:color="auto"/>
        <w:bottom w:val="single" w:sz="8" w:space="0" w:color="auto"/>
        <w:right w:val="single" w:sz="4" w:space="0" w:color="auto"/>
      </w:pBdr>
      <w:shd w:val="clear" w:color="000000" w:fill="DDD9C3"/>
      <w:spacing w:before="100" w:beforeAutospacing="1" w:after="100" w:afterAutospacing="1"/>
      <w:textAlignment w:val="center"/>
    </w:pPr>
    <w:rPr>
      <w:rFonts w:ascii="Arial" w:hAnsi="Arial" w:cs="Arial"/>
      <w:sz w:val="16"/>
      <w:szCs w:val="16"/>
    </w:rPr>
  </w:style>
  <w:style w:type="paragraph" w:customStyle="1" w:styleId="xl122">
    <w:name w:val="xl122"/>
    <w:basedOn w:val="Normal"/>
    <w:rsid w:val="00227AD3"/>
    <w:pPr>
      <w:pBdr>
        <w:top w:val="single" w:sz="8" w:space="0" w:color="auto"/>
        <w:left w:val="single" w:sz="4" w:space="0" w:color="auto"/>
        <w:bottom w:val="single" w:sz="8" w:space="0" w:color="auto"/>
        <w:right w:val="single" w:sz="4" w:space="0" w:color="auto"/>
      </w:pBdr>
      <w:shd w:val="clear" w:color="000000" w:fill="DDD9C3"/>
      <w:spacing w:before="100" w:beforeAutospacing="1" w:after="100" w:afterAutospacing="1"/>
      <w:textAlignment w:val="center"/>
    </w:pPr>
    <w:rPr>
      <w:rFonts w:ascii="Arial" w:hAnsi="Arial" w:cs="Arial"/>
      <w:b/>
      <w:bCs/>
      <w:color w:val="000000"/>
      <w:sz w:val="16"/>
      <w:szCs w:val="16"/>
    </w:rPr>
  </w:style>
  <w:style w:type="paragraph" w:customStyle="1" w:styleId="xl123">
    <w:name w:val="xl123"/>
    <w:basedOn w:val="Normal"/>
    <w:rsid w:val="00227AD3"/>
    <w:pPr>
      <w:pBdr>
        <w:top w:val="single" w:sz="8" w:space="0" w:color="auto"/>
        <w:left w:val="single" w:sz="4" w:space="0" w:color="auto"/>
        <w:bottom w:val="single" w:sz="8" w:space="0" w:color="auto"/>
        <w:right w:val="single" w:sz="4" w:space="0" w:color="auto"/>
      </w:pBdr>
      <w:shd w:val="clear" w:color="000000" w:fill="DDD9C3"/>
      <w:spacing w:before="100" w:beforeAutospacing="1" w:after="100" w:afterAutospacing="1"/>
      <w:jc w:val="center"/>
      <w:textAlignment w:val="center"/>
    </w:pPr>
    <w:rPr>
      <w:rFonts w:ascii="Arial" w:hAnsi="Arial" w:cs="Arial"/>
      <w:b/>
      <w:bCs/>
      <w:color w:val="000000"/>
      <w:sz w:val="16"/>
      <w:szCs w:val="16"/>
    </w:rPr>
  </w:style>
  <w:style w:type="paragraph" w:customStyle="1" w:styleId="xl124">
    <w:name w:val="xl124"/>
    <w:basedOn w:val="Normal"/>
    <w:rsid w:val="00227AD3"/>
    <w:pPr>
      <w:pBdr>
        <w:top w:val="single" w:sz="8" w:space="0" w:color="auto"/>
        <w:left w:val="single" w:sz="4" w:space="0" w:color="auto"/>
        <w:bottom w:val="single" w:sz="8" w:space="0" w:color="auto"/>
        <w:right w:val="single" w:sz="8" w:space="0" w:color="auto"/>
      </w:pBdr>
      <w:shd w:val="clear" w:color="000000" w:fill="DDD9C3"/>
      <w:spacing w:before="100" w:beforeAutospacing="1" w:after="100" w:afterAutospacing="1"/>
      <w:textAlignment w:val="center"/>
    </w:pPr>
    <w:rPr>
      <w:rFonts w:ascii="Arial" w:hAnsi="Arial" w:cs="Arial"/>
      <w:b/>
      <w:bCs/>
      <w:color w:val="000000"/>
      <w:sz w:val="16"/>
      <w:szCs w:val="16"/>
    </w:rPr>
  </w:style>
  <w:style w:type="paragraph" w:customStyle="1" w:styleId="xl125">
    <w:name w:val="xl125"/>
    <w:basedOn w:val="Normal"/>
    <w:rsid w:val="00227A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
    <w:rsid w:val="00227AD3"/>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
    <w:rsid w:val="00227AD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NoSpacing">
    <w:name w:val="No Spacing"/>
    <w:basedOn w:val="Normal"/>
    <w:link w:val="NoSpacingChar"/>
    <w:uiPriority w:val="1"/>
    <w:qFormat/>
    <w:rsid w:val="00227AD3"/>
    <w:pPr>
      <w:contextualSpacing/>
    </w:pPr>
    <w:rPr>
      <w:rFonts w:ascii="Arial" w:hAnsi="Arial"/>
      <w:szCs w:val="20"/>
      <w:lang w:bidi="en-US"/>
    </w:rPr>
  </w:style>
  <w:style w:type="character" w:customStyle="1" w:styleId="NoSpacingChar">
    <w:name w:val="No Spacing Char"/>
    <w:link w:val="NoSpacing"/>
    <w:uiPriority w:val="1"/>
    <w:rsid w:val="00227AD3"/>
    <w:rPr>
      <w:rFonts w:ascii="Arial" w:eastAsia="Times New Roman" w:hAnsi="Arial" w:cs="Times New Roman"/>
      <w:sz w:val="24"/>
      <w:szCs w:val="20"/>
      <w:lang w:bidi="en-US"/>
    </w:rPr>
  </w:style>
  <w:style w:type="paragraph" w:styleId="Revision">
    <w:name w:val="Revision"/>
    <w:hidden/>
    <w:uiPriority w:val="99"/>
    <w:semiHidden/>
    <w:rsid w:val="00DE7801"/>
    <w:rPr>
      <w:rFonts w:ascii="Times New Roman" w:eastAsia="Times New Roman" w:hAnsi="Times New Roman"/>
      <w:sz w:val="24"/>
      <w:szCs w:val="24"/>
    </w:rPr>
  </w:style>
  <w:style w:type="character" w:customStyle="1" w:styleId="sup">
    <w:name w:val="sup"/>
    <w:basedOn w:val="DefaultParagraphFont"/>
    <w:rsid w:val="007104C3"/>
  </w:style>
</w:styles>
</file>

<file path=word/webSettings.xml><?xml version="1.0" encoding="utf-8"?>
<w:webSettings xmlns:r="http://schemas.openxmlformats.org/officeDocument/2006/relationships" xmlns:w="http://schemas.openxmlformats.org/wordprocessingml/2006/main">
  <w:divs>
    <w:div w:id="47186762">
      <w:bodyDiv w:val="1"/>
      <w:marLeft w:val="0"/>
      <w:marRight w:val="0"/>
      <w:marTop w:val="0"/>
      <w:marBottom w:val="0"/>
      <w:divBdr>
        <w:top w:val="none" w:sz="0" w:space="0" w:color="auto"/>
        <w:left w:val="none" w:sz="0" w:space="0" w:color="auto"/>
        <w:bottom w:val="none" w:sz="0" w:space="0" w:color="auto"/>
        <w:right w:val="none" w:sz="0" w:space="0" w:color="auto"/>
      </w:divBdr>
    </w:div>
    <w:div w:id="154230301">
      <w:bodyDiv w:val="1"/>
      <w:marLeft w:val="0"/>
      <w:marRight w:val="0"/>
      <w:marTop w:val="0"/>
      <w:marBottom w:val="0"/>
      <w:divBdr>
        <w:top w:val="none" w:sz="0" w:space="0" w:color="auto"/>
        <w:left w:val="none" w:sz="0" w:space="0" w:color="auto"/>
        <w:bottom w:val="none" w:sz="0" w:space="0" w:color="auto"/>
        <w:right w:val="none" w:sz="0" w:space="0" w:color="auto"/>
      </w:divBdr>
      <w:divsChild>
        <w:div w:id="194194782">
          <w:marLeft w:val="0"/>
          <w:marRight w:val="0"/>
          <w:marTop w:val="0"/>
          <w:marBottom w:val="0"/>
          <w:divBdr>
            <w:top w:val="none" w:sz="0" w:space="0" w:color="auto"/>
            <w:left w:val="none" w:sz="0" w:space="0" w:color="auto"/>
            <w:bottom w:val="none" w:sz="0" w:space="0" w:color="auto"/>
            <w:right w:val="none" w:sz="0" w:space="0" w:color="auto"/>
          </w:divBdr>
        </w:div>
      </w:divsChild>
    </w:div>
    <w:div w:id="307323545">
      <w:bodyDiv w:val="1"/>
      <w:marLeft w:val="0"/>
      <w:marRight w:val="0"/>
      <w:marTop w:val="0"/>
      <w:marBottom w:val="0"/>
      <w:divBdr>
        <w:top w:val="none" w:sz="0" w:space="0" w:color="auto"/>
        <w:left w:val="none" w:sz="0" w:space="0" w:color="auto"/>
        <w:bottom w:val="none" w:sz="0" w:space="0" w:color="auto"/>
        <w:right w:val="none" w:sz="0" w:space="0" w:color="auto"/>
      </w:divBdr>
    </w:div>
    <w:div w:id="416444084">
      <w:bodyDiv w:val="1"/>
      <w:marLeft w:val="0"/>
      <w:marRight w:val="0"/>
      <w:marTop w:val="0"/>
      <w:marBottom w:val="0"/>
      <w:divBdr>
        <w:top w:val="none" w:sz="0" w:space="0" w:color="auto"/>
        <w:left w:val="none" w:sz="0" w:space="0" w:color="auto"/>
        <w:bottom w:val="none" w:sz="0" w:space="0" w:color="auto"/>
        <w:right w:val="none" w:sz="0" w:space="0" w:color="auto"/>
      </w:divBdr>
      <w:divsChild>
        <w:div w:id="1992826693">
          <w:marLeft w:val="3375"/>
          <w:marRight w:val="0"/>
          <w:marTop w:val="0"/>
          <w:marBottom w:val="0"/>
          <w:divBdr>
            <w:top w:val="none" w:sz="0" w:space="0" w:color="auto"/>
            <w:left w:val="none" w:sz="0" w:space="0" w:color="auto"/>
            <w:bottom w:val="none" w:sz="0" w:space="0" w:color="auto"/>
            <w:right w:val="none" w:sz="0" w:space="0" w:color="auto"/>
          </w:divBdr>
          <w:divsChild>
            <w:div w:id="1572274369">
              <w:marLeft w:val="0"/>
              <w:marRight w:val="0"/>
              <w:marTop w:val="0"/>
              <w:marBottom w:val="0"/>
              <w:divBdr>
                <w:top w:val="none" w:sz="0" w:space="0" w:color="auto"/>
                <w:left w:val="none" w:sz="0" w:space="0" w:color="auto"/>
                <w:bottom w:val="none" w:sz="0" w:space="0" w:color="auto"/>
                <w:right w:val="none" w:sz="0" w:space="0" w:color="auto"/>
              </w:divBdr>
              <w:divsChild>
                <w:div w:id="1744915570">
                  <w:marLeft w:val="0"/>
                  <w:marRight w:val="0"/>
                  <w:marTop w:val="0"/>
                  <w:marBottom w:val="0"/>
                  <w:divBdr>
                    <w:top w:val="none" w:sz="0" w:space="0" w:color="auto"/>
                    <w:left w:val="none" w:sz="0" w:space="0" w:color="auto"/>
                    <w:bottom w:val="none" w:sz="0" w:space="0" w:color="auto"/>
                    <w:right w:val="none" w:sz="0" w:space="0" w:color="auto"/>
                  </w:divBdr>
                  <w:divsChild>
                    <w:div w:id="978222201">
                      <w:marLeft w:val="0"/>
                      <w:marRight w:val="0"/>
                      <w:marTop w:val="0"/>
                      <w:marBottom w:val="0"/>
                      <w:divBdr>
                        <w:top w:val="none" w:sz="0" w:space="0" w:color="auto"/>
                        <w:left w:val="none" w:sz="0" w:space="0" w:color="auto"/>
                        <w:bottom w:val="none" w:sz="0" w:space="0" w:color="auto"/>
                        <w:right w:val="none" w:sz="0" w:space="0" w:color="auto"/>
                      </w:divBdr>
                      <w:divsChild>
                        <w:div w:id="9434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621787">
      <w:bodyDiv w:val="1"/>
      <w:marLeft w:val="0"/>
      <w:marRight w:val="0"/>
      <w:marTop w:val="0"/>
      <w:marBottom w:val="0"/>
      <w:divBdr>
        <w:top w:val="none" w:sz="0" w:space="0" w:color="auto"/>
        <w:left w:val="none" w:sz="0" w:space="0" w:color="auto"/>
        <w:bottom w:val="none" w:sz="0" w:space="0" w:color="auto"/>
        <w:right w:val="none" w:sz="0" w:space="0" w:color="auto"/>
      </w:divBdr>
    </w:div>
    <w:div w:id="526257179">
      <w:bodyDiv w:val="1"/>
      <w:marLeft w:val="0"/>
      <w:marRight w:val="0"/>
      <w:marTop w:val="0"/>
      <w:marBottom w:val="0"/>
      <w:divBdr>
        <w:top w:val="none" w:sz="0" w:space="0" w:color="auto"/>
        <w:left w:val="none" w:sz="0" w:space="0" w:color="auto"/>
        <w:bottom w:val="none" w:sz="0" w:space="0" w:color="auto"/>
        <w:right w:val="none" w:sz="0" w:space="0" w:color="auto"/>
      </w:divBdr>
      <w:divsChild>
        <w:div w:id="324280146">
          <w:marLeft w:val="3375"/>
          <w:marRight w:val="0"/>
          <w:marTop w:val="0"/>
          <w:marBottom w:val="0"/>
          <w:divBdr>
            <w:top w:val="none" w:sz="0" w:space="0" w:color="auto"/>
            <w:left w:val="none" w:sz="0" w:space="0" w:color="auto"/>
            <w:bottom w:val="none" w:sz="0" w:space="0" w:color="auto"/>
            <w:right w:val="none" w:sz="0" w:space="0" w:color="auto"/>
          </w:divBdr>
          <w:divsChild>
            <w:div w:id="2047287669">
              <w:marLeft w:val="0"/>
              <w:marRight w:val="0"/>
              <w:marTop w:val="0"/>
              <w:marBottom w:val="0"/>
              <w:divBdr>
                <w:top w:val="none" w:sz="0" w:space="0" w:color="auto"/>
                <w:left w:val="none" w:sz="0" w:space="0" w:color="auto"/>
                <w:bottom w:val="none" w:sz="0" w:space="0" w:color="auto"/>
                <w:right w:val="none" w:sz="0" w:space="0" w:color="auto"/>
              </w:divBdr>
              <w:divsChild>
                <w:div w:id="1092048094">
                  <w:marLeft w:val="0"/>
                  <w:marRight w:val="0"/>
                  <w:marTop w:val="0"/>
                  <w:marBottom w:val="0"/>
                  <w:divBdr>
                    <w:top w:val="none" w:sz="0" w:space="0" w:color="auto"/>
                    <w:left w:val="none" w:sz="0" w:space="0" w:color="auto"/>
                    <w:bottom w:val="none" w:sz="0" w:space="0" w:color="auto"/>
                    <w:right w:val="none" w:sz="0" w:space="0" w:color="auto"/>
                  </w:divBdr>
                  <w:divsChild>
                    <w:div w:id="1335298587">
                      <w:marLeft w:val="0"/>
                      <w:marRight w:val="0"/>
                      <w:marTop w:val="0"/>
                      <w:marBottom w:val="0"/>
                      <w:divBdr>
                        <w:top w:val="none" w:sz="0" w:space="0" w:color="auto"/>
                        <w:left w:val="none" w:sz="0" w:space="0" w:color="auto"/>
                        <w:bottom w:val="none" w:sz="0" w:space="0" w:color="auto"/>
                        <w:right w:val="none" w:sz="0" w:space="0" w:color="auto"/>
                      </w:divBdr>
                      <w:divsChild>
                        <w:div w:id="15098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083621">
      <w:bodyDiv w:val="1"/>
      <w:marLeft w:val="0"/>
      <w:marRight w:val="0"/>
      <w:marTop w:val="0"/>
      <w:marBottom w:val="0"/>
      <w:divBdr>
        <w:top w:val="none" w:sz="0" w:space="0" w:color="auto"/>
        <w:left w:val="none" w:sz="0" w:space="0" w:color="auto"/>
        <w:bottom w:val="none" w:sz="0" w:space="0" w:color="auto"/>
        <w:right w:val="none" w:sz="0" w:space="0" w:color="auto"/>
      </w:divBdr>
      <w:divsChild>
        <w:div w:id="2026201923">
          <w:marLeft w:val="3375"/>
          <w:marRight w:val="0"/>
          <w:marTop w:val="0"/>
          <w:marBottom w:val="0"/>
          <w:divBdr>
            <w:top w:val="none" w:sz="0" w:space="0" w:color="auto"/>
            <w:left w:val="none" w:sz="0" w:space="0" w:color="auto"/>
            <w:bottom w:val="none" w:sz="0" w:space="0" w:color="auto"/>
            <w:right w:val="none" w:sz="0" w:space="0" w:color="auto"/>
          </w:divBdr>
          <w:divsChild>
            <w:div w:id="515268731">
              <w:marLeft w:val="0"/>
              <w:marRight w:val="0"/>
              <w:marTop w:val="0"/>
              <w:marBottom w:val="0"/>
              <w:divBdr>
                <w:top w:val="none" w:sz="0" w:space="0" w:color="auto"/>
                <w:left w:val="none" w:sz="0" w:space="0" w:color="auto"/>
                <w:bottom w:val="none" w:sz="0" w:space="0" w:color="auto"/>
                <w:right w:val="none" w:sz="0" w:space="0" w:color="auto"/>
              </w:divBdr>
              <w:divsChild>
                <w:div w:id="489247754">
                  <w:marLeft w:val="0"/>
                  <w:marRight w:val="0"/>
                  <w:marTop w:val="0"/>
                  <w:marBottom w:val="0"/>
                  <w:divBdr>
                    <w:top w:val="none" w:sz="0" w:space="0" w:color="auto"/>
                    <w:left w:val="none" w:sz="0" w:space="0" w:color="auto"/>
                    <w:bottom w:val="none" w:sz="0" w:space="0" w:color="auto"/>
                    <w:right w:val="none" w:sz="0" w:space="0" w:color="auto"/>
                  </w:divBdr>
                  <w:divsChild>
                    <w:div w:id="442501675">
                      <w:marLeft w:val="0"/>
                      <w:marRight w:val="0"/>
                      <w:marTop w:val="0"/>
                      <w:marBottom w:val="0"/>
                      <w:divBdr>
                        <w:top w:val="none" w:sz="0" w:space="0" w:color="auto"/>
                        <w:left w:val="none" w:sz="0" w:space="0" w:color="auto"/>
                        <w:bottom w:val="none" w:sz="0" w:space="0" w:color="auto"/>
                        <w:right w:val="none" w:sz="0" w:space="0" w:color="auto"/>
                      </w:divBdr>
                      <w:divsChild>
                        <w:div w:id="9581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0793">
      <w:bodyDiv w:val="1"/>
      <w:marLeft w:val="0"/>
      <w:marRight w:val="0"/>
      <w:marTop w:val="0"/>
      <w:marBottom w:val="0"/>
      <w:divBdr>
        <w:top w:val="none" w:sz="0" w:space="0" w:color="auto"/>
        <w:left w:val="none" w:sz="0" w:space="0" w:color="auto"/>
        <w:bottom w:val="none" w:sz="0" w:space="0" w:color="auto"/>
        <w:right w:val="none" w:sz="0" w:space="0" w:color="auto"/>
      </w:divBdr>
    </w:div>
    <w:div w:id="547424835">
      <w:bodyDiv w:val="1"/>
      <w:marLeft w:val="0"/>
      <w:marRight w:val="0"/>
      <w:marTop w:val="0"/>
      <w:marBottom w:val="0"/>
      <w:divBdr>
        <w:top w:val="none" w:sz="0" w:space="0" w:color="auto"/>
        <w:left w:val="none" w:sz="0" w:space="0" w:color="auto"/>
        <w:bottom w:val="none" w:sz="0" w:space="0" w:color="auto"/>
        <w:right w:val="none" w:sz="0" w:space="0" w:color="auto"/>
      </w:divBdr>
    </w:div>
    <w:div w:id="614404334">
      <w:bodyDiv w:val="1"/>
      <w:marLeft w:val="0"/>
      <w:marRight w:val="0"/>
      <w:marTop w:val="0"/>
      <w:marBottom w:val="0"/>
      <w:divBdr>
        <w:top w:val="none" w:sz="0" w:space="0" w:color="auto"/>
        <w:left w:val="none" w:sz="0" w:space="0" w:color="auto"/>
        <w:bottom w:val="none" w:sz="0" w:space="0" w:color="auto"/>
        <w:right w:val="none" w:sz="0" w:space="0" w:color="auto"/>
      </w:divBdr>
    </w:div>
    <w:div w:id="645089934">
      <w:bodyDiv w:val="1"/>
      <w:marLeft w:val="0"/>
      <w:marRight w:val="0"/>
      <w:marTop w:val="0"/>
      <w:marBottom w:val="0"/>
      <w:divBdr>
        <w:top w:val="none" w:sz="0" w:space="0" w:color="auto"/>
        <w:left w:val="none" w:sz="0" w:space="0" w:color="auto"/>
        <w:bottom w:val="none" w:sz="0" w:space="0" w:color="auto"/>
        <w:right w:val="none" w:sz="0" w:space="0" w:color="auto"/>
      </w:divBdr>
    </w:div>
    <w:div w:id="697195970">
      <w:bodyDiv w:val="1"/>
      <w:marLeft w:val="0"/>
      <w:marRight w:val="0"/>
      <w:marTop w:val="0"/>
      <w:marBottom w:val="0"/>
      <w:divBdr>
        <w:top w:val="none" w:sz="0" w:space="0" w:color="auto"/>
        <w:left w:val="none" w:sz="0" w:space="0" w:color="auto"/>
        <w:bottom w:val="none" w:sz="0" w:space="0" w:color="auto"/>
        <w:right w:val="none" w:sz="0" w:space="0" w:color="auto"/>
      </w:divBdr>
    </w:div>
    <w:div w:id="719475286">
      <w:bodyDiv w:val="1"/>
      <w:marLeft w:val="0"/>
      <w:marRight w:val="0"/>
      <w:marTop w:val="0"/>
      <w:marBottom w:val="0"/>
      <w:divBdr>
        <w:top w:val="none" w:sz="0" w:space="0" w:color="auto"/>
        <w:left w:val="none" w:sz="0" w:space="0" w:color="auto"/>
        <w:bottom w:val="none" w:sz="0" w:space="0" w:color="auto"/>
        <w:right w:val="none" w:sz="0" w:space="0" w:color="auto"/>
      </w:divBdr>
    </w:div>
    <w:div w:id="807472550">
      <w:bodyDiv w:val="1"/>
      <w:marLeft w:val="0"/>
      <w:marRight w:val="0"/>
      <w:marTop w:val="0"/>
      <w:marBottom w:val="0"/>
      <w:divBdr>
        <w:top w:val="none" w:sz="0" w:space="0" w:color="auto"/>
        <w:left w:val="none" w:sz="0" w:space="0" w:color="auto"/>
        <w:bottom w:val="none" w:sz="0" w:space="0" w:color="auto"/>
        <w:right w:val="none" w:sz="0" w:space="0" w:color="auto"/>
      </w:divBdr>
    </w:div>
    <w:div w:id="920603242">
      <w:bodyDiv w:val="1"/>
      <w:marLeft w:val="0"/>
      <w:marRight w:val="0"/>
      <w:marTop w:val="0"/>
      <w:marBottom w:val="0"/>
      <w:divBdr>
        <w:top w:val="none" w:sz="0" w:space="0" w:color="auto"/>
        <w:left w:val="none" w:sz="0" w:space="0" w:color="auto"/>
        <w:bottom w:val="none" w:sz="0" w:space="0" w:color="auto"/>
        <w:right w:val="none" w:sz="0" w:space="0" w:color="auto"/>
      </w:divBdr>
      <w:divsChild>
        <w:div w:id="1590852434">
          <w:marLeft w:val="3375"/>
          <w:marRight w:val="0"/>
          <w:marTop w:val="0"/>
          <w:marBottom w:val="0"/>
          <w:divBdr>
            <w:top w:val="none" w:sz="0" w:space="0" w:color="auto"/>
            <w:left w:val="none" w:sz="0" w:space="0" w:color="auto"/>
            <w:bottom w:val="none" w:sz="0" w:space="0" w:color="auto"/>
            <w:right w:val="none" w:sz="0" w:space="0" w:color="auto"/>
          </w:divBdr>
          <w:divsChild>
            <w:div w:id="469057116">
              <w:marLeft w:val="0"/>
              <w:marRight w:val="0"/>
              <w:marTop w:val="0"/>
              <w:marBottom w:val="0"/>
              <w:divBdr>
                <w:top w:val="none" w:sz="0" w:space="0" w:color="auto"/>
                <w:left w:val="none" w:sz="0" w:space="0" w:color="auto"/>
                <w:bottom w:val="none" w:sz="0" w:space="0" w:color="auto"/>
                <w:right w:val="none" w:sz="0" w:space="0" w:color="auto"/>
              </w:divBdr>
              <w:divsChild>
                <w:div w:id="1887597530">
                  <w:marLeft w:val="0"/>
                  <w:marRight w:val="0"/>
                  <w:marTop w:val="0"/>
                  <w:marBottom w:val="0"/>
                  <w:divBdr>
                    <w:top w:val="none" w:sz="0" w:space="0" w:color="auto"/>
                    <w:left w:val="none" w:sz="0" w:space="0" w:color="auto"/>
                    <w:bottom w:val="none" w:sz="0" w:space="0" w:color="auto"/>
                    <w:right w:val="none" w:sz="0" w:space="0" w:color="auto"/>
                  </w:divBdr>
                  <w:divsChild>
                    <w:div w:id="44263738">
                      <w:marLeft w:val="0"/>
                      <w:marRight w:val="0"/>
                      <w:marTop w:val="0"/>
                      <w:marBottom w:val="0"/>
                      <w:divBdr>
                        <w:top w:val="none" w:sz="0" w:space="0" w:color="auto"/>
                        <w:left w:val="none" w:sz="0" w:space="0" w:color="auto"/>
                        <w:bottom w:val="none" w:sz="0" w:space="0" w:color="auto"/>
                        <w:right w:val="none" w:sz="0" w:space="0" w:color="auto"/>
                      </w:divBdr>
                      <w:divsChild>
                        <w:div w:id="2073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353197">
      <w:bodyDiv w:val="1"/>
      <w:marLeft w:val="0"/>
      <w:marRight w:val="0"/>
      <w:marTop w:val="0"/>
      <w:marBottom w:val="0"/>
      <w:divBdr>
        <w:top w:val="none" w:sz="0" w:space="0" w:color="auto"/>
        <w:left w:val="none" w:sz="0" w:space="0" w:color="auto"/>
        <w:bottom w:val="none" w:sz="0" w:space="0" w:color="auto"/>
        <w:right w:val="none" w:sz="0" w:space="0" w:color="auto"/>
      </w:divBdr>
    </w:div>
    <w:div w:id="955597546">
      <w:bodyDiv w:val="1"/>
      <w:marLeft w:val="0"/>
      <w:marRight w:val="0"/>
      <w:marTop w:val="0"/>
      <w:marBottom w:val="0"/>
      <w:divBdr>
        <w:top w:val="none" w:sz="0" w:space="0" w:color="auto"/>
        <w:left w:val="none" w:sz="0" w:space="0" w:color="auto"/>
        <w:bottom w:val="none" w:sz="0" w:space="0" w:color="auto"/>
        <w:right w:val="none" w:sz="0" w:space="0" w:color="auto"/>
      </w:divBdr>
      <w:divsChild>
        <w:div w:id="1055860203">
          <w:marLeft w:val="3375"/>
          <w:marRight w:val="0"/>
          <w:marTop w:val="0"/>
          <w:marBottom w:val="0"/>
          <w:divBdr>
            <w:top w:val="none" w:sz="0" w:space="0" w:color="auto"/>
            <w:left w:val="none" w:sz="0" w:space="0" w:color="auto"/>
            <w:bottom w:val="none" w:sz="0" w:space="0" w:color="auto"/>
            <w:right w:val="none" w:sz="0" w:space="0" w:color="auto"/>
          </w:divBdr>
          <w:divsChild>
            <w:div w:id="144199520">
              <w:marLeft w:val="0"/>
              <w:marRight w:val="0"/>
              <w:marTop w:val="0"/>
              <w:marBottom w:val="0"/>
              <w:divBdr>
                <w:top w:val="none" w:sz="0" w:space="0" w:color="auto"/>
                <w:left w:val="none" w:sz="0" w:space="0" w:color="auto"/>
                <w:bottom w:val="none" w:sz="0" w:space="0" w:color="auto"/>
                <w:right w:val="none" w:sz="0" w:space="0" w:color="auto"/>
              </w:divBdr>
              <w:divsChild>
                <w:div w:id="262541276">
                  <w:marLeft w:val="0"/>
                  <w:marRight w:val="0"/>
                  <w:marTop w:val="0"/>
                  <w:marBottom w:val="0"/>
                  <w:divBdr>
                    <w:top w:val="none" w:sz="0" w:space="0" w:color="auto"/>
                    <w:left w:val="none" w:sz="0" w:space="0" w:color="auto"/>
                    <w:bottom w:val="none" w:sz="0" w:space="0" w:color="auto"/>
                    <w:right w:val="none" w:sz="0" w:space="0" w:color="auto"/>
                  </w:divBdr>
                  <w:divsChild>
                    <w:div w:id="3185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225405">
      <w:bodyDiv w:val="1"/>
      <w:marLeft w:val="0"/>
      <w:marRight w:val="0"/>
      <w:marTop w:val="0"/>
      <w:marBottom w:val="0"/>
      <w:divBdr>
        <w:top w:val="none" w:sz="0" w:space="0" w:color="auto"/>
        <w:left w:val="none" w:sz="0" w:space="0" w:color="auto"/>
        <w:bottom w:val="none" w:sz="0" w:space="0" w:color="auto"/>
        <w:right w:val="none" w:sz="0" w:space="0" w:color="auto"/>
      </w:divBdr>
    </w:div>
    <w:div w:id="1102602938">
      <w:bodyDiv w:val="1"/>
      <w:marLeft w:val="0"/>
      <w:marRight w:val="0"/>
      <w:marTop w:val="0"/>
      <w:marBottom w:val="0"/>
      <w:divBdr>
        <w:top w:val="none" w:sz="0" w:space="0" w:color="auto"/>
        <w:left w:val="none" w:sz="0" w:space="0" w:color="auto"/>
        <w:bottom w:val="none" w:sz="0" w:space="0" w:color="auto"/>
        <w:right w:val="none" w:sz="0" w:space="0" w:color="auto"/>
      </w:divBdr>
      <w:divsChild>
        <w:div w:id="1819036549">
          <w:marLeft w:val="0"/>
          <w:marRight w:val="0"/>
          <w:marTop w:val="0"/>
          <w:marBottom w:val="0"/>
          <w:divBdr>
            <w:top w:val="none" w:sz="0" w:space="0" w:color="auto"/>
            <w:left w:val="none" w:sz="0" w:space="0" w:color="auto"/>
            <w:bottom w:val="none" w:sz="0" w:space="0" w:color="auto"/>
            <w:right w:val="none" w:sz="0" w:space="0" w:color="auto"/>
          </w:divBdr>
        </w:div>
      </w:divsChild>
    </w:div>
    <w:div w:id="1167359482">
      <w:bodyDiv w:val="1"/>
      <w:marLeft w:val="0"/>
      <w:marRight w:val="0"/>
      <w:marTop w:val="0"/>
      <w:marBottom w:val="0"/>
      <w:divBdr>
        <w:top w:val="none" w:sz="0" w:space="0" w:color="auto"/>
        <w:left w:val="none" w:sz="0" w:space="0" w:color="auto"/>
        <w:bottom w:val="none" w:sz="0" w:space="0" w:color="auto"/>
        <w:right w:val="none" w:sz="0" w:space="0" w:color="auto"/>
      </w:divBdr>
      <w:divsChild>
        <w:div w:id="1385063283">
          <w:marLeft w:val="3375"/>
          <w:marRight w:val="0"/>
          <w:marTop w:val="0"/>
          <w:marBottom w:val="0"/>
          <w:divBdr>
            <w:top w:val="none" w:sz="0" w:space="0" w:color="auto"/>
            <w:left w:val="none" w:sz="0" w:space="0" w:color="auto"/>
            <w:bottom w:val="none" w:sz="0" w:space="0" w:color="auto"/>
            <w:right w:val="none" w:sz="0" w:space="0" w:color="auto"/>
          </w:divBdr>
          <w:divsChild>
            <w:div w:id="201788929">
              <w:marLeft w:val="0"/>
              <w:marRight w:val="0"/>
              <w:marTop w:val="0"/>
              <w:marBottom w:val="0"/>
              <w:divBdr>
                <w:top w:val="none" w:sz="0" w:space="0" w:color="auto"/>
                <w:left w:val="none" w:sz="0" w:space="0" w:color="auto"/>
                <w:bottom w:val="none" w:sz="0" w:space="0" w:color="auto"/>
                <w:right w:val="none" w:sz="0" w:space="0" w:color="auto"/>
              </w:divBdr>
              <w:divsChild>
                <w:div w:id="1618416391">
                  <w:marLeft w:val="0"/>
                  <w:marRight w:val="0"/>
                  <w:marTop w:val="0"/>
                  <w:marBottom w:val="0"/>
                  <w:divBdr>
                    <w:top w:val="none" w:sz="0" w:space="0" w:color="auto"/>
                    <w:left w:val="none" w:sz="0" w:space="0" w:color="auto"/>
                    <w:bottom w:val="none" w:sz="0" w:space="0" w:color="auto"/>
                    <w:right w:val="none" w:sz="0" w:space="0" w:color="auto"/>
                  </w:divBdr>
                  <w:divsChild>
                    <w:div w:id="2004815809">
                      <w:marLeft w:val="0"/>
                      <w:marRight w:val="0"/>
                      <w:marTop w:val="0"/>
                      <w:marBottom w:val="0"/>
                      <w:divBdr>
                        <w:top w:val="none" w:sz="0" w:space="0" w:color="auto"/>
                        <w:left w:val="none" w:sz="0" w:space="0" w:color="auto"/>
                        <w:bottom w:val="none" w:sz="0" w:space="0" w:color="auto"/>
                        <w:right w:val="none" w:sz="0" w:space="0" w:color="auto"/>
                      </w:divBdr>
                      <w:divsChild>
                        <w:div w:id="6798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46373">
      <w:bodyDiv w:val="1"/>
      <w:marLeft w:val="0"/>
      <w:marRight w:val="0"/>
      <w:marTop w:val="0"/>
      <w:marBottom w:val="0"/>
      <w:divBdr>
        <w:top w:val="none" w:sz="0" w:space="0" w:color="auto"/>
        <w:left w:val="none" w:sz="0" w:space="0" w:color="auto"/>
        <w:bottom w:val="none" w:sz="0" w:space="0" w:color="auto"/>
        <w:right w:val="none" w:sz="0" w:space="0" w:color="auto"/>
      </w:divBdr>
    </w:div>
    <w:div w:id="1429307030">
      <w:bodyDiv w:val="1"/>
      <w:marLeft w:val="0"/>
      <w:marRight w:val="0"/>
      <w:marTop w:val="0"/>
      <w:marBottom w:val="0"/>
      <w:divBdr>
        <w:top w:val="none" w:sz="0" w:space="0" w:color="auto"/>
        <w:left w:val="none" w:sz="0" w:space="0" w:color="auto"/>
        <w:bottom w:val="none" w:sz="0" w:space="0" w:color="auto"/>
        <w:right w:val="none" w:sz="0" w:space="0" w:color="auto"/>
      </w:divBdr>
    </w:div>
    <w:div w:id="1580627932">
      <w:bodyDiv w:val="1"/>
      <w:marLeft w:val="0"/>
      <w:marRight w:val="0"/>
      <w:marTop w:val="0"/>
      <w:marBottom w:val="0"/>
      <w:divBdr>
        <w:top w:val="none" w:sz="0" w:space="0" w:color="auto"/>
        <w:left w:val="none" w:sz="0" w:space="0" w:color="auto"/>
        <w:bottom w:val="none" w:sz="0" w:space="0" w:color="auto"/>
        <w:right w:val="none" w:sz="0" w:space="0" w:color="auto"/>
      </w:divBdr>
    </w:div>
    <w:div w:id="1657151261">
      <w:bodyDiv w:val="1"/>
      <w:marLeft w:val="0"/>
      <w:marRight w:val="0"/>
      <w:marTop w:val="0"/>
      <w:marBottom w:val="0"/>
      <w:divBdr>
        <w:top w:val="none" w:sz="0" w:space="0" w:color="auto"/>
        <w:left w:val="none" w:sz="0" w:space="0" w:color="auto"/>
        <w:bottom w:val="none" w:sz="0" w:space="0" w:color="auto"/>
        <w:right w:val="none" w:sz="0" w:space="0" w:color="auto"/>
      </w:divBdr>
      <w:divsChild>
        <w:div w:id="1144279348">
          <w:marLeft w:val="3375"/>
          <w:marRight w:val="0"/>
          <w:marTop w:val="0"/>
          <w:marBottom w:val="0"/>
          <w:divBdr>
            <w:top w:val="none" w:sz="0" w:space="0" w:color="auto"/>
            <w:left w:val="none" w:sz="0" w:space="0" w:color="auto"/>
            <w:bottom w:val="none" w:sz="0" w:space="0" w:color="auto"/>
            <w:right w:val="none" w:sz="0" w:space="0" w:color="auto"/>
          </w:divBdr>
          <w:divsChild>
            <w:div w:id="922959001">
              <w:marLeft w:val="0"/>
              <w:marRight w:val="0"/>
              <w:marTop w:val="0"/>
              <w:marBottom w:val="0"/>
              <w:divBdr>
                <w:top w:val="none" w:sz="0" w:space="0" w:color="auto"/>
                <w:left w:val="none" w:sz="0" w:space="0" w:color="auto"/>
                <w:bottom w:val="none" w:sz="0" w:space="0" w:color="auto"/>
                <w:right w:val="none" w:sz="0" w:space="0" w:color="auto"/>
              </w:divBdr>
              <w:divsChild>
                <w:div w:id="869537268">
                  <w:marLeft w:val="0"/>
                  <w:marRight w:val="0"/>
                  <w:marTop w:val="0"/>
                  <w:marBottom w:val="0"/>
                  <w:divBdr>
                    <w:top w:val="none" w:sz="0" w:space="0" w:color="auto"/>
                    <w:left w:val="none" w:sz="0" w:space="0" w:color="auto"/>
                    <w:bottom w:val="none" w:sz="0" w:space="0" w:color="auto"/>
                    <w:right w:val="none" w:sz="0" w:space="0" w:color="auto"/>
                  </w:divBdr>
                  <w:divsChild>
                    <w:div w:id="771778622">
                      <w:marLeft w:val="0"/>
                      <w:marRight w:val="0"/>
                      <w:marTop w:val="0"/>
                      <w:marBottom w:val="0"/>
                      <w:divBdr>
                        <w:top w:val="none" w:sz="0" w:space="0" w:color="auto"/>
                        <w:left w:val="none" w:sz="0" w:space="0" w:color="auto"/>
                        <w:bottom w:val="none" w:sz="0" w:space="0" w:color="auto"/>
                        <w:right w:val="none" w:sz="0" w:space="0" w:color="auto"/>
                      </w:divBdr>
                      <w:divsChild>
                        <w:div w:id="1900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63065">
      <w:bodyDiv w:val="1"/>
      <w:marLeft w:val="0"/>
      <w:marRight w:val="0"/>
      <w:marTop w:val="0"/>
      <w:marBottom w:val="0"/>
      <w:divBdr>
        <w:top w:val="none" w:sz="0" w:space="0" w:color="auto"/>
        <w:left w:val="none" w:sz="0" w:space="0" w:color="auto"/>
        <w:bottom w:val="none" w:sz="0" w:space="0" w:color="auto"/>
        <w:right w:val="none" w:sz="0" w:space="0" w:color="auto"/>
      </w:divBdr>
      <w:divsChild>
        <w:div w:id="1903518696">
          <w:marLeft w:val="3375"/>
          <w:marRight w:val="0"/>
          <w:marTop w:val="0"/>
          <w:marBottom w:val="0"/>
          <w:divBdr>
            <w:top w:val="none" w:sz="0" w:space="0" w:color="auto"/>
            <w:left w:val="none" w:sz="0" w:space="0" w:color="auto"/>
            <w:bottom w:val="none" w:sz="0" w:space="0" w:color="auto"/>
            <w:right w:val="none" w:sz="0" w:space="0" w:color="auto"/>
          </w:divBdr>
          <w:divsChild>
            <w:div w:id="1837646232">
              <w:marLeft w:val="0"/>
              <w:marRight w:val="0"/>
              <w:marTop w:val="0"/>
              <w:marBottom w:val="0"/>
              <w:divBdr>
                <w:top w:val="none" w:sz="0" w:space="0" w:color="auto"/>
                <w:left w:val="none" w:sz="0" w:space="0" w:color="auto"/>
                <w:bottom w:val="none" w:sz="0" w:space="0" w:color="auto"/>
                <w:right w:val="none" w:sz="0" w:space="0" w:color="auto"/>
              </w:divBdr>
              <w:divsChild>
                <w:div w:id="1127361005">
                  <w:marLeft w:val="0"/>
                  <w:marRight w:val="0"/>
                  <w:marTop w:val="0"/>
                  <w:marBottom w:val="0"/>
                  <w:divBdr>
                    <w:top w:val="none" w:sz="0" w:space="0" w:color="auto"/>
                    <w:left w:val="none" w:sz="0" w:space="0" w:color="auto"/>
                    <w:bottom w:val="none" w:sz="0" w:space="0" w:color="auto"/>
                    <w:right w:val="none" w:sz="0" w:space="0" w:color="auto"/>
                  </w:divBdr>
                  <w:divsChild>
                    <w:div w:id="1368796732">
                      <w:marLeft w:val="0"/>
                      <w:marRight w:val="0"/>
                      <w:marTop w:val="0"/>
                      <w:marBottom w:val="0"/>
                      <w:divBdr>
                        <w:top w:val="none" w:sz="0" w:space="0" w:color="auto"/>
                        <w:left w:val="none" w:sz="0" w:space="0" w:color="auto"/>
                        <w:bottom w:val="none" w:sz="0" w:space="0" w:color="auto"/>
                        <w:right w:val="none" w:sz="0" w:space="0" w:color="auto"/>
                      </w:divBdr>
                      <w:divsChild>
                        <w:div w:id="937640266">
                          <w:marLeft w:val="0"/>
                          <w:marRight w:val="0"/>
                          <w:marTop w:val="0"/>
                          <w:marBottom w:val="0"/>
                          <w:divBdr>
                            <w:top w:val="none" w:sz="0" w:space="0" w:color="auto"/>
                            <w:left w:val="none" w:sz="0" w:space="0" w:color="auto"/>
                            <w:bottom w:val="none" w:sz="0" w:space="0" w:color="auto"/>
                            <w:right w:val="none" w:sz="0" w:space="0" w:color="auto"/>
                          </w:divBdr>
                          <w:divsChild>
                            <w:div w:id="4372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55261">
      <w:bodyDiv w:val="1"/>
      <w:marLeft w:val="0"/>
      <w:marRight w:val="0"/>
      <w:marTop w:val="0"/>
      <w:marBottom w:val="0"/>
      <w:divBdr>
        <w:top w:val="none" w:sz="0" w:space="0" w:color="auto"/>
        <w:left w:val="none" w:sz="0" w:space="0" w:color="auto"/>
        <w:bottom w:val="none" w:sz="0" w:space="0" w:color="auto"/>
        <w:right w:val="none" w:sz="0" w:space="0" w:color="auto"/>
      </w:divBdr>
    </w:div>
    <w:div w:id="1989821036">
      <w:bodyDiv w:val="1"/>
      <w:marLeft w:val="0"/>
      <w:marRight w:val="0"/>
      <w:marTop w:val="0"/>
      <w:marBottom w:val="0"/>
      <w:divBdr>
        <w:top w:val="none" w:sz="0" w:space="0" w:color="auto"/>
        <w:left w:val="none" w:sz="0" w:space="0" w:color="auto"/>
        <w:bottom w:val="none" w:sz="0" w:space="0" w:color="auto"/>
        <w:right w:val="none" w:sz="0" w:space="0" w:color="auto"/>
      </w:divBdr>
    </w:div>
    <w:div w:id="2068991912">
      <w:bodyDiv w:val="1"/>
      <w:marLeft w:val="0"/>
      <w:marRight w:val="0"/>
      <w:marTop w:val="0"/>
      <w:marBottom w:val="0"/>
      <w:divBdr>
        <w:top w:val="none" w:sz="0" w:space="0" w:color="auto"/>
        <w:left w:val="none" w:sz="0" w:space="0" w:color="auto"/>
        <w:bottom w:val="none" w:sz="0" w:space="0" w:color="auto"/>
        <w:right w:val="none" w:sz="0" w:space="0" w:color="auto"/>
      </w:divBdr>
    </w:div>
    <w:div w:id="2084719136">
      <w:bodyDiv w:val="1"/>
      <w:marLeft w:val="0"/>
      <w:marRight w:val="0"/>
      <w:marTop w:val="0"/>
      <w:marBottom w:val="0"/>
      <w:divBdr>
        <w:top w:val="none" w:sz="0" w:space="0" w:color="auto"/>
        <w:left w:val="none" w:sz="0" w:space="0" w:color="auto"/>
        <w:bottom w:val="none" w:sz="0" w:space="0" w:color="auto"/>
        <w:right w:val="none" w:sz="0" w:space="0" w:color="auto"/>
      </w:divBdr>
    </w:div>
    <w:div w:id="2093428054">
      <w:bodyDiv w:val="1"/>
      <w:marLeft w:val="0"/>
      <w:marRight w:val="0"/>
      <w:marTop w:val="0"/>
      <w:marBottom w:val="0"/>
      <w:divBdr>
        <w:top w:val="none" w:sz="0" w:space="0" w:color="auto"/>
        <w:left w:val="none" w:sz="0" w:space="0" w:color="auto"/>
        <w:bottom w:val="none" w:sz="0" w:space="0" w:color="auto"/>
        <w:right w:val="none" w:sz="0" w:space="0" w:color="auto"/>
      </w:divBdr>
      <w:divsChild>
        <w:div w:id="1746224029">
          <w:marLeft w:val="3375"/>
          <w:marRight w:val="0"/>
          <w:marTop w:val="0"/>
          <w:marBottom w:val="0"/>
          <w:divBdr>
            <w:top w:val="none" w:sz="0" w:space="0" w:color="auto"/>
            <w:left w:val="none" w:sz="0" w:space="0" w:color="auto"/>
            <w:bottom w:val="none" w:sz="0" w:space="0" w:color="auto"/>
            <w:right w:val="none" w:sz="0" w:space="0" w:color="auto"/>
          </w:divBdr>
          <w:divsChild>
            <w:div w:id="332801349">
              <w:marLeft w:val="0"/>
              <w:marRight w:val="0"/>
              <w:marTop w:val="0"/>
              <w:marBottom w:val="0"/>
              <w:divBdr>
                <w:top w:val="none" w:sz="0" w:space="0" w:color="auto"/>
                <w:left w:val="none" w:sz="0" w:space="0" w:color="auto"/>
                <w:bottom w:val="none" w:sz="0" w:space="0" w:color="auto"/>
                <w:right w:val="none" w:sz="0" w:space="0" w:color="auto"/>
              </w:divBdr>
              <w:divsChild>
                <w:div w:id="70540849">
                  <w:marLeft w:val="0"/>
                  <w:marRight w:val="0"/>
                  <w:marTop w:val="0"/>
                  <w:marBottom w:val="0"/>
                  <w:divBdr>
                    <w:top w:val="none" w:sz="0" w:space="0" w:color="auto"/>
                    <w:left w:val="none" w:sz="0" w:space="0" w:color="auto"/>
                    <w:bottom w:val="none" w:sz="0" w:space="0" w:color="auto"/>
                    <w:right w:val="none" w:sz="0" w:space="0" w:color="auto"/>
                  </w:divBdr>
                  <w:divsChild>
                    <w:div w:id="765729580">
                      <w:marLeft w:val="0"/>
                      <w:marRight w:val="0"/>
                      <w:marTop w:val="0"/>
                      <w:marBottom w:val="0"/>
                      <w:divBdr>
                        <w:top w:val="none" w:sz="0" w:space="0" w:color="auto"/>
                        <w:left w:val="none" w:sz="0" w:space="0" w:color="auto"/>
                        <w:bottom w:val="none" w:sz="0" w:space="0" w:color="auto"/>
                        <w:right w:val="none" w:sz="0" w:space="0" w:color="auto"/>
                      </w:divBdr>
                      <w:divsChild>
                        <w:div w:id="1596472699">
                          <w:marLeft w:val="0"/>
                          <w:marRight w:val="0"/>
                          <w:marTop w:val="0"/>
                          <w:marBottom w:val="0"/>
                          <w:divBdr>
                            <w:top w:val="none" w:sz="0" w:space="0" w:color="auto"/>
                            <w:left w:val="none" w:sz="0" w:space="0" w:color="auto"/>
                            <w:bottom w:val="none" w:sz="0" w:space="0" w:color="auto"/>
                            <w:right w:val="none" w:sz="0" w:space="0" w:color="auto"/>
                          </w:divBdr>
                          <w:divsChild>
                            <w:div w:id="5597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dhsshare/DHS%20Graphics/!arkseal2.jpg" TargetMode="External"/><Relationship Id="rId13" Type="http://schemas.openxmlformats.org/officeDocument/2006/relationships/hyperlink" Target="https://www.medicaid.state.ar.us/Download/provider/pharm/PACriteria.pdf"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www.medicaid.state.ar.us/InternetSolution/default.aspx" TargetMode="External"/><Relationship Id="rId2" Type="http://schemas.openxmlformats.org/officeDocument/2006/relationships/styles" Target="styles.xml"/><Relationship Id="rId16" Type="http://schemas.openxmlformats.org/officeDocument/2006/relationships/hyperlink" Target="http://www.uams.edu/cdh1/peds_guidelines.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edicaid.state.ar.u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medicaid.state.ar.us/Download/provider/pharm/ClaimEdits.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5052</Words>
  <Characters>28798</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DMS Pharmacy Program Memorandum dated 8/18/14</vt:lpstr>
    </vt:vector>
  </TitlesOfParts>
  <LinksUpToDate>false</LinksUpToDate>
  <CharactersWithSpaces>33783</CharactersWithSpaces>
  <SharedDoc>false</SharedDoc>
  <HLinks>
    <vt:vector size="42" baseType="variant">
      <vt:variant>
        <vt:i4>6684789</vt:i4>
      </vt:variant>
      <vt:variant>
        <vt:i4>15</vt:i4>
      </vt:variant>
      <vt:variant>
        <vt:i4>0</vt:i4>
      </vt:variant>
      <vt:variant>
        <vt:i4>5</vt:i4>
      </vt:variant>
      <vt:variant>
        <vt:lpwstr>https://www.medicaid.state.ar.us/InternetSolution/default.aspx</vt:lpwstr>
      </vt:variant>
      <vt:variant>
        <vt:lpwstr/>
      </vt:variant>
      <vt:variant>
        <vt:i4>3735642</vt:i4>
      </vt:variant>
      <vt:variant>
        <vt:i4>12</vt:i4>
      </vt:variant>
      <vt:variant>
        <vt:i4>0</vt:i4>
      </vt:variant>
      <vt:variant>
        <vt:i4>5</vt:i4>
      </vt:variant>
      <vt:variant>
        <vt:lpwstr>http://www.uams.edu/cdh1/peds_guidelines.aspx</vt:lpwstr>
      </vt:variant>
      <vt:variant>
        <vt:lpwstr/>
      </vt:variant>
      <vt:variant>
        <vt:i4>18</vt:i4>
      </vt:variant>
      <vt:variant>
        <vt:i4>9</vt:i4>
      </vt:variant>
      <vt:variant>
        <vt:i4>0</vt:i4>
      </vt:variant>
      <vt:variant>
        <vt:i4>5</vt:i4>
      </vt:variant>
      <vt:variant>
        <vt:lpwstr>http://www.medicaid.state.ar.us/</vt:lpwstr>
      </vt:variant>
      <vt:variant>
        <vt:lpwstr/>
      </vt:variant>
      <vt:variant>
        <vt:i4>6815850</vt:i4>
      </vt:variant>
      <vt:variant>
        <vt:i4>6</vt:i4>
      </vt:variant>
      <vt:variant>
        <vt:i4>0</vt:i4>
      </vt:variant>
      <vt:variant>
        <vt:i4>5</vt:i4>
      </vt:variant>
      <vt:variant>
        <vt:lpwstr>https://www.medicaid.state.ar.us/Download/provider/pharm/ClaimEdits.xls</vt:lpwstr>
      </vt:variant>
      <vt:variant>
        <vt:lpwstr/>
      </vt:variant>
      <vt:variant>
        <vt:i4>6881388</vt:i4>
      </vt:variant>
      <vt:variant>
        <vt:i4>3</vt:i4>
      </vt:variant>
      <vt:variant>
        <vt:i4>0</vt:i4>
      </vt:variant>
      <vt:variant>
        <vt:i4>5</vt:i4>
      </vt:variant>
      <vt:variant>
        <vt:lpwstr>https://www.medicaid.state.ar.us/Download/provider/pharm/PACriteria.pdf</vt:lpwstr>
      </vt:variant>
      <vt:variant>
        <vt:lpwstr/>
      </vt:variant>
      <vt:variant>
        <vt:i4>2556030</vt:i4>
      </vt:variant>
      <vt:variant>
        <vt:i4>0</vt:i4>
      </vt:variant>
      <vt:variant>
        <vt:i4>0</vt:i4>
      </vt:variant>
      <vt:variant>
        <vt:i4>5</vt:i4>
      </vt:variant>
      <vt:variant>
        <vt:lpwstr>http://dhsshare/DHS Graphics/!arkseal2.jpg</vt:lpwstr>
      </vt:variant>
      <vt:variant>
        <vt:lpwstr/>
      </vt:variant>
      <vt:variant>
        <vt:i4>2556030</vt:i4>
      </vt:variant>
      <vt:variant>
        <vt:i4>2139</vt:i4>
      </vt:variant>
      <vt:variant>
        <vt:i4>1026</vt:i4>
      </vt:variant>
      <vt:variant>
        <vt:i4>4</vt:i4>
      </vt:variant>
      <vt:variant>
        <vt:lpwstr>http://dhsshare/DHS Graphics/!arkseal2.jpg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 Pharmacy Program Memorandum dated 8/18/14</dc:title>
  <dc:creator/>
  <cp:lastModifiedBy/>
  <cp:revision>1</cp:revision>
  <dcterms:created xsi:type="dcterms:W3CDTF">2014-09-26T17:06:00Z</dcterms:created>
  <dcterms:modified xsi:type="dcterms:W3CDTF">2014-09-26T17:06:00Z</dcterms:modified>
</cp:coreProperties>
</file>